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61CB5" w14:textId="4C1A2C8F" w:rsidR="002C4609" w:rsidRPr="001C5100" w:rsidRDefault="0053075C" w:rsidP="001C5100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1C5100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45258054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54E6AEE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2C4609" w:rsidRPr="001C5100">
        <w:rPr>
          <w:rFonts w:ascii="Cambria" w:hAnsi="Cambria"/>
          <w:b/>
          <w:color w:val="007AC3" w:themeColor="accent1"/>
          <w:sz w:val="32"/>
          <w:szCs w:val="32"/>
        </w:rPr>
        <w:t>Assignments</w:t>
      </w:r>
      <w:r w:rsidR="001C5100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="002C4609" w:rsidRPr="001C5100">
        <w:rPr>
          <w:rFonts w:ascii="Cambria" w:hAnsi="Cambria"/>
          <w:b/>
          <w:color w:val="007AC3" w:themeColor="accent1"/>
          <w:sz w:val="32"/>
          <w:szCs w:val="32"/>
        </w:rPr>
        <w:t>Chapter 1</w:t>
      </w:r>
      <w:r w:rsidR="005B374D" w:rsidRPr="001C5100">
        <w:rPr>
          <w:rFonts w:ascii="Cambria" w:hAnsi="Cambria"/>
          <w:b/>
          <w:color w:val="007AC3" w:themeColor="accent1"/>
          <w:sz w:val="32"/>
          <w:szCs w:val="32"/>
        </w:rPr>
        <w:t>4</w:t>
      </w:r>
      <w:r w:rsidR="002C4609" w:rsidRPr="001C5100">
        <w:rPr>
          <w:rFonts w:ascii="Cambria" w:hAnsi="Cambria"/>
          <w:b/>
          <w:color w:val="007AC3" w:themeColor="accent1"/>
          <w:sz w:val="32"/>
          <w:szCs w:val="32"/>
        </w:rPr>
        <w:t>, Patient Safety and Restraint Alternatives</w:t>
      </w:r>
    </w:p>
    <w:tbl>
      <w:tblPr>
        <w:tblStyle w:val="TableGrid13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820"/>
        <w:gridCol w:w="1756"/>
      </w:tblGrid>
      <w:tr w:rsidR="002C4609" w:rsidRPr="001C5100" w14:paraId="1DCCB47C" w14:textId="77777777" w:rsidTr="00535C25">
        <w:trPr>
          <w:tblHeader/>
        </w:trPr>
        <w:tc>
          <w:tcPr>
            <w:tcW w:w="7820" w:type="dxa"/>
          </w:tcPr>
          <w:p w14:paraId="70A81302" w14:textId="77777777" w:rsidR="002C4609" w:rsidRPr="001C5100" w:rsidRDefault="002C4609" w:rsidP="00DC2DC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1C5100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756" w:type="dxa"/>
          </w:tcPr>
          <w:p w14:paraId="7AEE29F6" w14:textId="678C3257" w:rsidR="002C4609" w:rsidRPr="001C5100" w:rsidRDefault="002C4609" w:rsidP="00DC2DC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1C5100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F2185B" w:rsidRPr="001C5100">
              <w:rPr>
                <w:rFonts w:ascii="Verdana" w:hAnsi="Verdana"/>
                <w:szCs w:val="22"/>
                <w:lang w:bidi="en-US"/>
              </w:rPr>
              <w:t>(</w:t>
            </w:r>
            <w:r w:rsidRPr="001C5100">
              <w:rPr>
                <w:rFonts w:ascii="Verdana" w:hAnsi="Verdana"/>
                <w:szCs w:val="22"/>
                <w:lang w:bidi="en-US"/>
              </w:rPr>
              <w:t>s</w:t>
            </w:r>
            <w:r w:rsidR="00F2185B" w:rsidRPr="001C5100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2C4609" w:rsidRPr="001C5100" w14:paraId="1BC09C3A" w14:textId="77777777" w:rsidTr="00535C25">
        <w:tc>
          <w:tcPr>
            <w:tcW w:w="7820" w:type="dxa"/>
          </w:tcPr>
          <w:p w14:paraId="5134C519" w14:textId="6B25789E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Assignment #1. Complete Chapter 1</w:t>
            </w:r>
            <w:r w:rsidR="00F2185B" w:rsidRPr="001C5100">
              <w:rPr>
                <w:rFonts w:ascii="Verdana" w:hAnsi="Verdana"/>
                <w:color w:val="auto"/>
                <w:sz w:val="22"/>
                <w:lang w:bidi="en-US"/>
              </w:rPr>
              <w:t>4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 of Lippincott Workbook for Nursing Assistants.</w:t>
            </w:r>
          </w:p>
        </w:tc>
        <w:tc>
          <w:tcPr>
            <w:tcW w:w="1756" w:type="dxa"/>
          </w:tcPr>
          <w:p w14:paraId="707A37EE" w14:textId="17912C21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1–</w:t>
            </w:r>
            <w:r w:rsidR="005B374D" w:rsidRPr="001C5100">
              <w:rPr>
                <w:rFonts w:ascii="Verdana" w:hAnsi="Verdana"/>
                <w:color w:val="auto"/>
                <w:sz w:val="22"/>
                <w:lang w:bidi="en-US"/>
              </w:rPr>
              <w:t>9</w:t>
            </w:r>
          </w:p>
        </w:tc>
      </w:tr>
      <w:tr w:rsidR="002C4609" w:rsidRPr="001C5100" w14:paraId="2F872E66" w14:textId="77777777" w:rsidTr="00535C25">
        <w:tc>
          <w:tcPr>
            <w:tcW w:w="7820" w:type="dxa"/>
          </w:tcPr>
          <w:p w14:paraId="47360CCD" w14:textId="11AB21D6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Assignment #2. The instructor will give </w:t>
            </w:r>
            <w:r w:rsidR="00E4762B"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students 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copies of a blank incident report. </w:t>
            </w:r>
            <w:r w:rsidR="00E4762B" w:rsidRPr="001C5100">
              <w:rPr>
                <w:rFonts w:ascii="Verdana" w:hAnsi="Verdana"/>
                <w:color w:val="auto"/>
                <w:sz w:val="22"/>
                <w:lang w:bidi="en-US"/>
              </w:rPr>
              <w:t>Students p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ractice completing reports according to the following situations and label them as accident or incident.</w:t>
            </w:r>
          </w:p>
          <w:p w14:paraId="7F95E2FE" w14:textId="77777777" w:rsidR="002C4609" w:rsidRPr="001C5100" w:rsidRDefault="002C4609" w:rsidP="002C4609">
            <w:pPr>
              <w:numPr>
                <w:ilvl w:val="0"/>
                <w:numId w:val="30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During lunch, Mrs. Jones spilled her hot coffee onto her lap, resulting in a first-degree burn on her thigh.</w:t>
            </w:r>
          </w:p>
          <w:p w14:paraId="34323843" w14:textId="76DD5E2A" w:rsidR="002C4609" w:rsidRPr="001C5100" w:rsidRDefault="002C4609" w:rsidP="002C4609">
            <w:pPr>
              <w:numPr>
                <w:ilvl w:val="0"/>
                <w:numId w:val="30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Mary, a resident with severe dementia, tipped </w:t>
            </w:r>
            <w:r w:rsidR="000145B7" w:rsidRPr="001C5100">
              <w:rPr>
                <w:rFonts w:ascii="Verdana" w:hAnsi="Verdana"/>
                <w:color w:val="auto"/>
                <w:sz w:val="22"/>
                <w:lang w:bidi="en-US"/>
              </w:rPr>
              <w:t>their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 wheelchair over after breakfast, fell onto the floor in the hallway, and hit </w:t>
            </w:r>
            <w:r w:rsidR="00D62489" w:rsidRPr="001C5100">
              <w:rPr>
                <w:rFonts w:ascii="Verdana" w:hAnsi="Verdana"/>
                <w:color w:val="auto"/>
                <w:sz w:val="22"/>
                <w:lang w:bidi="en-US"/>
              </w:rPr>
              <w:t>their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 head, resulting in a laceration.</w:t>
            </w:r>
          </w:p>
          <w:p w14:paraId="05A54446" w14:textId="5E9B5F35" w:rsidR="002C4609" w:rsidRPr="001C5100" w:rsidRDefault="002C4609" w:rsidP="002C4609">
            <w:pPr>
              <w:numPr>
                <w:ilvl w:val="0"/>
                <w:numId w:val="30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Gladys, the wife of an </w:t>
            </w:r>
            <w:r w:rsidR="00E4762B"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older 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resident, becomes angered by his roommate who has dementia and tries to pat her buttocks. Gladys angrily pushes </w:t>
            </w:r>
            <w:r w:rsidR="007C5916" w:rsidRPr="001C5100">
              <w:rPr>
                <w:rFonts w:ascii="Verdana" w:hAnsi="Verdana"/>
                <w:color w:val="auto"/>
                <w:sz w:val="22"/>
                <w:lang w:bidi="en-US"/>
              </w:rPr>
              <w:t>them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 away, resulting in </w:t>
            </w:r>
            <w:r w:rsidR="007C5916" w:rsidRPr="001C5100">
              <w:rPr>
                <w:rFonts w:ascii="Verdana" w:hAnsi="Verdana"/>
                <w:color w:val="auto"/>
                <w:sz w:val="22"/>
                <w:lang w:bidi="en-US"/>
              </w:rPr>
              <w:t>their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 falling to the floor.</w:t>
            </w:r>
          </w:p>
          <w:p w14:paraId="3038F46B" w14:textId="77777777" w:rsidR="002C4609" w:rsidRPr="001C5100" w:rsidRDefault="002C4609" w:rsidP="002C4609">
            <w:pPr>
              <w:numPr>
                <w:ilvl w:val="0"/>
                <w:numId w:val="30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Larry, a resident with arthritis, tripped over the edge of the carpet in the dayroom and fell this evening, resulting in bruising of his knees and hands.</w:t>
            </w:r>
          </w:p>
        </w:tc>
        <w:tc>
          <w:tcPr>
            <w:tcW w:w="1756" w:type="dxa"/>
          </w:tcPr>
          <w:p w14:paraId="14056F30" w14:textId="09A05DD5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1, </w:t>
            </w:r>
            <w:r w:rsidR="005B374D" w:rsidRPr="001C5100">
              <w:rPr>
                <w:rFonts w:ascii="Verdana" w:hAnsi="Verdana"/>
                <w:color w:val="auto"/>
                <w:sz w:val="22"/>
                <w:lang w:bidi="en-US"/>
              </w:rPr>
              <w:t>5</w:t>
            </w:r>
          </w:p>
        </w:tc>
      </w:tr>
    </w:tbl>
    <w:p w14:paraId="700BCE1A" w14:textId="77777777" w:rsidR="002C4609" w:rsidRPr="001C5100" w:rsidRDefault="002C4609" w:rsidP="002C4609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3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820"/>
        <w:gridCol w:w="1756"/>
      </w:tblGrid>
      <w:tr w:rsidR="002C4609" w:rsidRPr="001C5100" w14:paraId="6DB3029D" w14:textId="77777777" w:rsidTr="00535C25">
        <w:trPr>
          <w:tblHeader/>
        </w:trPr>
        <w:tc>
          <w:tcPr>
            <w:tcW w:w="7820" w:type="dxa"/>
          </w:tcPr>
          <w:p w14:paraId="0FEEAD7D" w14:textId="77777777" w:rsidR="002C4609" w:rsidRPr="001C5100" w:rsidRDefault="002C4609" w:rsidP="001372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1C5100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756" w:type="dxa"/>
          </w:tcPr>
          <w:p w14:paraId="52825991" w14:textId="77777777" w:rsidR="002C4609" w:rsidRPr="001C5100" w:rsidRDefault="002C4609" w:rsidP="001372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1C5100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2C4609" w:rsidRPr="001C5100" w14:paraId="18994DF8" w14:textId="77777777" w:rsidTr="00535C25">
        <w:tc>
          <w:tcPr>
            <w:tcW w:w="7820" w:type="dxa"/>
          </w:tcPr>
          <w:p w14:paraId="0778334E" w14:textId="683C653B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Assignment #1. Read the situation below. Think of the worst thing that could happen in this situation and suggest measures that can be taken to prevent that from happening.</w:t>
            </w:r>
          </w:p>
          <w:p w14:paraId="2954EAF7" w14:textId="77777777" w:rsidR="002C4609" w:rsidRPr="001C5100" w:rsidRDefault="002C4609" w:rsidP="002C4609">
            <w:pPr>
              <w:numPr>
                <w:ilvl w:val="0"/>
                <w:numId w:val="34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You are taking care of Mr. Wilson in a long-term care facility. He is on a pain medication that has a sedative effect. He normally smokes a cigarette in the smoking room while watching the evening news on television.</w:t>
            </w:r>
          </w:p>
        </w:tc>
        <w:tc>
          <w:tcPr>
            <w:tcW w:w="1756" w:type="dxa"/>
          </w:tcPr>
          <w:p w14:paraId="39C6BEFA" w14:textId="700472C1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2, 3, 4</w:t>
            </w:r>
          </w:p>
        </w:tc>
      </w:tr>
      <w:tr w:rsidR="002C4609" w:rsidRPr="001C5100" w14:paraId="73370D25" w14:textId="77777777" w:rsidTr="00535C25">
        <w:tc>
          <w:tcPr>
            <w:tcW w:w="7820" w:type="dxa"/>
          </w:tcPr>
          <w:p w14:paraId="4C50F211" w14:textId="77777777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Assignment #2. Falls are the leading cause of accidental death among elderly people and are the most common type of accident that occurs in a health care setting. Below are measures that can be taken to prevent falls. Provide the rationale for each measure.</w:t>
            </w:r>
          </w:p>
          <w:p w14:paraId="5863613F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Check the person’s clothing and shoes for fit, good foot support, and nonskid soles.</w:t>
            </w:r>
          </w:p>
          <w:p w14:paraId="77969D60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Encourage the use of rails along hallways and stairways when walking.</w:t>
            </w:r>
          </w:p>
          <w:p w14:paraId="682076DD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Observe the person for signs of unsteadiness and offer physical assistance as needed.</w:t>
            </w:r>
          </w:p>
          <w:p w14:paraId="407CFA64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Encourage and assist the person to ambulate and exercise 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lastRenderedPageBreak/>
              <w:t>according to their care plan and abilities.</w:t>
            </w:r>
          </w:p>
          <w:p w14:paraId="159E9CB5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Observe the person’s ability to use walking aids, such as canes and walkers, and intervene if incorrect use occurs.</w:t>
            </w:r>
          </w:p>
          <w:p w14:paraId="00EE7F15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Check equipment, such as walkers and wheelchairs, to ensure it is in good condition with nonskid tips on walkers and wheel locks functioning properly.</w:t>
            </w:r>
          </w:p>
          <w:p w14:paraId="588E0C5D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Make sure a patient or resident who needs glasses is wearing them when out of bed.</w:t>
            </w:r>
          </w:p>
          <w:p w14:paraId="5C7D2D6B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Remove clutter or obstacles from walkways and provide adequate lighting.</w:t>
            </w:r>
          </w:p>
          <w:p w14:paraId="49443AD0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Create clear pathways in the person’s room leading to the door and the bathroom. Keep heavy or large pieces of furniture away from the bedside and walkways.</w:t>
            </w:r>
          </w:p>
          <w:p w14:paraId="59910857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Keep beds in the lowest position and bed wheels locked.</w:t>
            </w:r>
          </w:p>
          <w:p w14:paraId="2BF9D616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Keep side rails up or down, according to individual care plans.</w:t>
            </w:r>
          </w:p>
          <w:p w14:paraId="2A96D3B9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Use cushioned floor mats beside the bed for people who are likely to fall out of bed.</w:t>
            </w:r>
          </w:p>
          <w:p w14:paraId="77452FDA" w14:textId="75B34CA6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Always make sure the call light control is within easy reach. Answer call lights promptly and offer to help the person with toileting frequently.</w:t>
            </w:r>
          </w:p>
          <w:p w14:paraId="3449C19F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Wipe up any spills immediately.</w:t>
            </w:r>
          </w:p>
          <w:p w14:paraId="0C95BB52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Keep people who are at risk for falling and who are disoriented close to the nurses’ station. Offer frequent assistance with walking.</w:t>
            </w:r>
          </w:p>
          <w:p w14:paraId="673FE1FF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Orient a newly admitted patient or resident to the unit and his or her room.</w:t>
            </w:r>
          </w:p>
          <w:p w14:paraId="18CDF018" w14:textId="77777777" w:rsidR="002C4609" w:rsidRPr="001C5100" w:rsidRDefault="002C4609" w:rsidP="002C4609">
            <w:pPr>
              <w:numPr>
                <w:ilvl w:val="0"/>
                <w:numId w:val="31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Make sure wheelchair wheels are locked and front swivel wheels face forward.</w:t>
            </w:r>
          </w:p>
        </w:tc>
        <w:tc>
          <w:tcPr>
            <w:tcW w:w="1756" w:type="dxa"/>
          </w:tcPr>
          <w:p w14:paraId="2F80973F" w14:textId="7A9063ED" w:rsidR="002C4609" w:rsidRPr="001C5100" w:rsidRDefault="00891CCC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lastRenderedPageBreak/>
              <w:t xml:space="preserve">2, </w:t>
            </w:r>
            <w:r w:rsidR="002C4609" w:rsidRPr="001C5100">
              <w:rPr>
                <w:rFonts w:ascii="Verdana" w:hAnsi="Verdana"/>
                <w:color w:val="auto"/>
                <w:sz w:val="22"/>
                <w:lang w:bidi="en-US"/>
              </w:rPr>
              <w:t>3, 4</w:t>
            </w:r>
          </w:p>
        </w:tc>
      </w:tr>
      <w:tr w:rsidR="002C4609" w:rsidRPr="001C5100" w14:paraId="2863CD0C" w14:textId="77777777" w:rsidTr="00535C25">
        <w:tc>
          <w:tcPr>
            <w:tcW w:w="7820" w:type="dxa"/>
          </w:tcPr>
          <w:p w14:paraId="22004CAA" w14:textId="77777777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Assignment #3. Nursing assistants must follow certain guidelines when restraints are used. Some of these are listed below. Discuss each point and explain the rationale.</w:t>
            </w:r>
          </w:p>
          <w:p w14:paraId="0089D1EE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Do not use a restraint without a written doctor’s order that states the reason for the restraint.</w:t>
            </w:r>
          </w:p>
          <w:p w14:paraId="42474578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Never use a restraint to “punish” a patient or resident or for your own convenience.</w:t>
            </w:r>
          </w:p>
          <w:p w14:paraId="4340D44D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Use the least restrictive restraint for the least amount of time.</w:t>
            </w:r>
          </w:p>
          <w:p w14:paraId="291D6CC2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Use a restraint that is the correct size and in good condition.</w:t>
            </w:r>
          </w:p>
          <w:p w14:paraId="68E21FB2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Apply restraints over clothing, pajamas, or a gown.</w:t>
            </w:r>
          </w:p>
          <w:p w14:paraId="45E6EBF8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Tie restraints using simple, easy-to-release knots placed out of reach of the patient’s or resident’s hands.</w:t>
            </w:r>
          </w:p>
          <w:p w14:paraId="46F7700C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Check on the restrained persons every 15 minutes to make sure that sensation and blood flow are normal in any restrained extremity (arm or leg). This means actually 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lastRenderedPageBreak/>
              <w:t>physically going into the person’s room and touching the person’s extremities.</w:t>
            </w:r>
          </w:p>
          <w:p w14:paraId="1D9245DE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Completely remove the restraint every 2 hours for a total of 10 minutes.</w:t>
            </w:r>
          </w:p>
          <w:p w14:paraId="0F8F1065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Record any care given to a restrained person promptly and according to the facility’s policy.</w:t>
            </w:r>
          </w:p>
          <w:p w14:paraId="7E74B5C0" w14:textId="77777777" w:rsidR="002C4609" w:rsidRPr="001C5100" w:rsidRDefault="002C4609" w:rsidP="002C4609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Use restraints only if you have been properly trained in their use.</w:t>
            </w:r>
          </w:p>
        </w:tc>
        <w:tc>
          <w:tcPr>
            <w:tcW w:w="1756" w:type="dxa"/>
          </w:tcPr>
          <w:p w14:paraId="5E6D7664" w14:textId="47210BE5" w:rsidR="002C4609" w:rsidRPr="001C5100" w:rsidRDefault="006D4E1C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lastRenderedPageBreak/>
              <w:t>7</w:t>
            </w:r>
          </w:p>
        </w:tc>
      </w:tr>
    </w:tbl>
    <w:p w14:paraId="17BDFC5C" w14:textId="77777777" w:rsidR="002C4609" w:rsidRPr="001C5100" w:rsidRDefault="002C4609" w:rsidP="002C4609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3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820"/>
        <w:gridCol w:w="1756"/>
      </w:tblGrid>
      <w:tr w:rsidR="002C4609" w:rsidRPr="001C5100" w14:paraId="72AF014F" w14:textId="77777777" w:rsidTr="00535C25">
        <w:trPr>
          <w:tblHeader/>
        </w:trPr>
        <w:tc>
          <w:tcPr>
            <w:tcW w:w="7820" w:type="dxa"/>
          </w:tcPr>
          <w:p w14:paraId="6E871555" w14:textId="77777777" w:rsidR="002C4609" w:rsidRPr="001C5100" w:rsidRDefault="002C4609" w:rsidP="001372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1C5100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756" w:type="dxa"/>
          </w:tcPr>
          <w:p w14:paraId="4F4A5BC2" w14:textId="33758A6F" w:rsidR="002C4609" w:rsidRPr="001C5100" w:rsidRDefault="002C4609" w:rsidP="001372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1C5100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F2185B" w:rsidRPr="001C5100">
              <w:rPr>
                <w:rFonts w:ascii="Verdana" w:hAnsi="Verdana"/>
                <w:szCs w:val="22"/>
                <w:lang w:bidi="en-US"/>
              </w:rPr>
              <w:t>(</w:t>
            </w:r>
            <w:r w:rsidRPr="001C5100">
              <w:rPr>
                <w:rFonts w:ascii="Verdana" w:hAnsi="Verdana"/>
                <w:szCs w:val="22"/>
                <w:lang w:bidi="en-US"/>
              </w:rPr>
              <w:t>s</w:t>
            </w:r>
            <w:r w:rsidR="00F2185B" w:rsidRPr="001C5100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2C4609" w:rsidRPr="001C5100" w14:paraId="3F913C25" w14:textId="77777777" w:rsidTr="00535C25">
        <w:tc>
          <w:tcPr>
            <w:tcW w:w="7820" w:type="dxa"/>
          </w:tcPr>
          <w:p w14:paraId="3ED219C1" w14:textId="77777777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Assignment #1. Watch Module 12 of </w:t>
            </w:r>
            <w:r w:rsidRPr="001C5100">
              <w:rPr>
                <w:rFonts w:ascii="Verdana" w:hAnsi="Verdana"/>
                <w:i/>
                <w:iCs/>
                <w:color w:val="auto"/>
                <w:sz w:val="22"/>
                <w:lang w:bidi="en-US"/>
              </w:rPr>
              <w:t>Lippincott Video Series for Nursing Assistants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, “Patient and Resident Safety,” which reviews complications associated with the use of restraints, restraint alternatives, the proper procedures for applying a vest restraint and a wrist or ankle restraint, and the nursing assistant’s role in caring for a person who is wearing a restraint.</w:t>
            </w:r>
          </w:p>
        </w:tc>
        <w:tc>
          <w:tcPr>
            <w:tcW w:w="1756" w:type="dxa"/>
          </w:tcPr>
          <w:p w14:paraId="1D32C3E0" w14:textId="6D13B88D" w:rsidR="002C4609" w:rsidRPr="001C5100" w:rsidRDefault="00DF6016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6</w:t>
            </w:r>
            <w:r w:rsidR="002C4609" w:rsidRPr="001C5100">
              <w:rPr>
                <w:rFonts w:ascii="Verdana" w:hAnsi="Verdana"/>
                <w:color w:val="auto"/>
                <w:sz w:val="22"/>
                <w:lang w:bidi="en-US"/>
              </w:rPr>
              <w:t>–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9</w:t>
            </w:r>
          </w:p>
        </w:tc>
      </w:tr>
      <w:tr w:rsidR="002C4609" w:rsidRPr="001C5100" w14:paraId="70FE1B63" w14:textId="77777777" w:rsidTr="00535C25">
        <w:tc>
          <w:tcPr>
            <w:tcW w:w="7820" w:type="dxa"/>
          </w:tcPr>
          <w:p w14:paraId="41BD3421" w14:textId="44193359" w:rsidR="002C4609" w:rsidRPr="001C5100" w:rsidRDefault="005024E1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Assignment #2.</w:t>
            </w:r>
            <w:r w:rsidR="002C4609"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 Use various objects to reproduce some of the conditions that can increase a patient’s or resident’s risk for an accident. For example:</w:t>
            </w:r>
          </w:p>
          <w:p w14:paraId="1285A3EB" w14:textId="77777777" w:rsidR="002C4609" w:rsidRPr="001C5100" w:rsidRDefault="002C4609" w:rsidP="002C4609">
            <w:pPr>
              <w:numPr>
                <w:ilvl w:val="0"/>
                <w:numId w:val="33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If you wear glasses, take them off. If you don’t wear glasses, try on a pair of glasses with a strong prescription or glasses smeared with petroleum jelly.</w:t>
            </w:r>
          </w:p>
          <w:p w14:paraId="2BEE1E40" w14:textId="77777777" w:rsidR="002C4609" w:rsidRPr="001C5100" w:rsidRDefault="002C4609" w:rsidP="002C4609">
            <w:pPr>
              <w:numPr>
                <w:ilvl w:val="0"/>
                <w:numId w:val="33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Insert earplugs and try to follow verbal directions.</w:t>
            </w:r>
          </w:p>
          <w:p w14:paraId="690B59B6" w14:textId="77777777" w:rsidR="002C4609" w:rsidRPr="001C5100" w:rsidRDefault="002C4609" w:rsidP="002C4609">
            <w:pPr>
              <w:numPr>
                <w:ilvl w:val="0"/>
                <w:numId w:val="33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Sit in a wheelchair and try to navigate through doorways or to the restroom.</w:t>
            </w:r>
          </w:p>
          <w:p w14:paraId="737D7A80" w14:textId="77777777" w:rsidR="002C4609" w:rsidRPr="001C5100" w:rsidRDefault="002C4609" w:rsidP="002C4609">
            <w:pPr>
              <w:numPr>
                <w:ilvl w:val="0"/>
                <w:numId w:val="33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Try to walk using crutches with one leg, the other flexed at the knee.</w:t>
            </w:r>
          </w:p>
          <w:p w14:paraId="2FD1631B" w14:textId="77777777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Share how you felt, and what difficulties you experience that would place you at greater risk for an accident.</w:t>
            </w:r>
          </w:p>
        </w:tc>
        <w:tc>
          <w:tcPr>
            <w:tcW w:w="1756" w:type="dxa"/>
          </w:tcPr>
          <w:p w14:paraId="0ED3DE26" w14:textId="289BF65B" w:rsidR="002C4609" w:rsidRPr="001C5100" w:rsidRDefault="00154072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2, </w:t>
            </w:r>
            <w:r w:rsidR="002C4609" w:rsidRPr="001C5100">
              <w:rPr>
                <w:rFonts w:ascii="Verdana" w:hAnsi="Verdana"/>
                <w:color w:val="auto"/>
                <w:sz w:val="22"/>
                <w:lang w:bidi="en-US"/>
              </w:rPr>
              <w:t>3, 4</w:t>
            </w:r>
          </w:p>
        </w:tc>
      </w:tr>
      <w:tr w:rsidR="002C4609" w:rsidRPr="001C5100" w14:paraId="7565EF78" w14:textId="77777777" w:rsidTr="00535C25">
        <w:tc>
          <w:tcPr>
            <w:tcW w:w="7820" w:type="dxa"/>
          </w:tcPr>
          <w:p w14:paraId="5F6D9F05" w14:textId="29C93F01" w:rsidR="002C4609" w:rsidRPr="001C5100" w:rsidRDefault="005024E1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Assignment </w:t>
            </w:r>
            <w:r w:rsidR="002C4609" w:rsidRPr="001C5100">
              <w:rPr>
                <w:rFonts w:ascii="Verdana" w:hAnsi="Verdana"/>
                <w:color w:val="auto"/>
                <w:sz w:val="22"/>
                <w:lang w:bidi="en-US"/>
              </w:rPr>
              <w:t>#3. Observe the demonstration by instructor, and practice procedures in Chapter 13, including the use of an “easy-release” knot.</w:t>
            </w:r>
          </w:p>
        </w:tc>
        <w:tc>
          <w:tcPr>
            <w:tcW w:w="1756" w:type="dxa"/>
          </w:tcPr>
          <w:p w14:paraId="0B7A7EFA" w14:textId="02413E34" w:rsidR="002C4609" w:rsidRPr="001C5100" w:rsidRDefault="000D388A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6</w:t>
            </w:r>
            <w:r w:rsidR="002C4609"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, 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7</w:t>
            </w:r>
            <w:r w:rsidR="002C4609" w:rsidRPr="001C5100">
              <w:rPr>
                <w:rFonts w:ascii="Verdana" w:hAnsi="Verdana"/>
                <w:color w:val="auto"/>
                <w:sz w:val="22"/>
                <w:lang w:bidi="en-US"/>
              </w:rPr>
              <w:t>,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 9</w:t>
            </w:r>
          </w:p>
        </w:tc>
      </w:tr>
      <w:tr w:rsidR="002C4609" w:rsidRPr="001C5100" w14:paraId="3F45BABA" w14:textId="77777777" w:rsidTr="00535C25">
        <w:tc>
          <w:tcPr>
            <w:tcW w:w="7820" w:type="dxa"/>
          </w:tcPr>
          <w:p w14:paraId="62A0C6B4" w14:textId="3C22FACE" w:rsidR="002C4609" w:rsidRPr="001C5100" w:rsidRDefault="005024E1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Assignment </w:t>
            </w:r>
            <w:r w:rsidR="002C4609" w:rsidRPr="001C5100">
              <w:rPr>
                <w:rFonts w:ascii="Verdana" w:hAnsi="Verdana"/>
                <w:color w:val="auto"/>
                <w:sz w:val="22"/>
                <w:lang w:bidi="en-US"/>
              </w:rPr>
              <w:t>#4. A nurse from the clinical site will be invited to discuss how restraints and their alternatives are used in the facility and how their use is documented.</w:t>
            </w:r>
          </w:p>
        </w:tc>
        <w:tc>
          <w:tcPr>
            <w:tcW w:w="1756" w:type="dxa"/>
          </w:tcPr>
          <w:p w14:paraId="4CF3C7D3" w14:textId="5D0D68D3" w:rsidR="002C4609" w:rsidRPr="001C5100" w:rsidRDefault="0053075C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6</w:t>
            </w:r>
            <w:r w:rsidR="00181B4A" w:rsidRPr="001C5100">
              <w:rPr>
                <w:rFonts w:ascii="Verdana" w:hAnsi="Verdana"/>
                <w:color w:val="auto"/>
                <w:sz w:val="22"/>
                <w:lang w:bidi="en-US"/>
              </w:rPr>
              <w:t xml:space="preserve">, </w:t>
            </w:r>
            <w:r w:rsidR="002C4609" w:rsidRPr="001C5100">
              <w:rPr>
                <w:rFonts w:ascii="Verdana" w:hAnsi="Verdana"/>
                <w:color w:val="auto"/>
                <w:sz w:val="22"/>
                <w:lang w:bidi="en-US"/>
              </w:rPr>
              <w:t>7, 8</w:t>
            </w: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, 9</w:t>
            </w:r>
          </w:p>
        </w:tc>
      </w:tr>
    </w:tbl>
    <w:p w14:paraId="71193993" w14:textId="77777777" w:rsidR="002C4609" w:rsidRPr="001C5100" w:rsidRDefault="002C4609" w:rsidP="002C4609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3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820"/>
        <w:gridCol w:w="1756"/>
      </w:tblGrid>
      <w:tr w:rsidR="002C4609" w:rsidRPr="001C5100" w14:paraId="512E2C77" w14:textId="77777777" w:rsidTr="00535C25">
        <w:trPr>
          <w:tblHeader/>
        </w:trPr>
        <w:tc>
          <w:tcPr>
            <w:tcW w:w="7820" w:type="dxa"/>
          </w:tcPr>
          <w:p w14:paraId="6FC2AB98" w14:textId="77777777" w:rsidR="002C4609" w:rsidRPr="001C5100" w:rsidRDefault="002C4609" w:rsidP="001372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1C5100">
              <w:rPr>
                <w:rFonts w:ascii="Verdana" w:hAnsi="Verdana"/>
                <w:szCs w:val="22"/>
                <w:lang w:bidi="en-US"/>
              </w:rPr>
              <w:t>Web Assignments</w:t>
            </w:r>
          </w:p>
        </w:tc>
        <w:tc>
          <w:tcPr>
            <w:tcW w:w="1756" w:type="dxa"/>
          </w:tcPr>
          <w:p w14:paraId="1A3DD557" w14:textId="77777777" w:rsidR="002C4609" w:rsidRPr="001C5100" w:rsidRDefault="002C4609" w:rsidP="001372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1C5100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2C4609" w:rsidRPr="001C5100" w14:paraId="341F6104" w14:textId="77777777" w:rsidTr="00535C25">
        <w:tc>
          <w:tcPr>
            <w:tcW w:w="7820" w:type="dxa"/>
          </w:tcPr>
          <w:p w14:paraId="736CC478" w14:textId="77777777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Assignment #1. Complete an Internet search for restraint alternatives.</w:t>
            </w:r>
          </w:p>
        </w:tc>
        <w:tc>
          <w:tcPr>
            <w:tcW w:w="1756" w:type="dxa"/>
          </w:tcPr>
          <w:p w14:paraId="2EBA175F" w14:textId="667B4D87" w:rsidR="002C4609" w:rsidRPr="001C5100" w:rsidRDefault="000D388A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8</w:t>
            </w:r>
          </w:p>
        </w:tc>
      </w:tr>
      <w:tr w:rsidR="002C4609" w:rsidRPr="001C5100" w14:paraId="418A7628" w14:textId="77777777" w:rsidTr="00535C25">
        <w:tc>
          <w:tcPr>
            <w:tcW w:w="7820" w:type="dxa"/>
          </w:tcPr>
          <w:p w14:paraId="32D9B790" w14:textId="77777777" w:rsidR="002C4609" w:rsidRPr="001C5100" w:rsidRDefault="002C4609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lastRenderedPageBreak/>
              <w:t>Assignment #2. Search the Internet for deaths due to physical or chemical restraints.</w:t>
            </w:r>
          </w:p>
        </w:tc>
        <w:tc>
          <w:tcPr>
            <w:tcW w:w="1756" w:type="dxa"/>
          </w:tcPr>
          <w:p w14:paraId="6563D25F" w14:textId="235A1CF2" w:rsidR="002C4609" w:rsidRPr="001C5100" w:rsidRDefault="00181B4A" w:rsidP="002C4609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1C5100">
              <w:rPr>
                <w:rFonts w:ascii="Verdana" w:hAnsi="Verdana"/>
                <w:color w:val="auto"/>
                <w:sz w:val="22"/>
                <w:lang w:bidi="en-US"/>
              </w:rPr>
              <w:t>7</w:t>
            </w:r>
          </w:p>
        </w:tc>
      </w:tr>
    </w:tbl>
    <w:p w14:paraId="77E3A8BB" w14:textId="77777777" w:rsidR="002C4609" w:rsidRPr="001C5100" w:rsidRDefault="002C4609" w:rsidP="002C4609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1C5100" w:rsidRDefault="00896353" w:rsidP="002C4609">
      <w:pPr>
        <w:rPr>
          <w:rFonts w:ascii="Verdana" w:hAnsi="Verdana"/>
          <w:sz w:val="22"/>
          <w:lang w:eastAsia="de-DE"/>
        </w:rPr>
      </w:pPr>
    </w:p>
    <w:sectPr w:rsidR="00896353" w:rsidRPr="001C5100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0DE8E" w14:textId="77777777" w:rsidR="00634BC0" w:rsidRDefault="00634BC0">
      <w:pPr>
        <w:spacing w:line="240" w:lineRule="auto"/>
      </w:pPr>
      <w:r>
        <w:separator/>
      </w:r>
    </w:p>
  </w:endnote>
  <w:endnote w:type="continuationSeparator" w:id="0">
    <w:p w14:paraId="2D72CA83" w14:textId="77777777" w:rsidR="00634BC0" w:rsidRDefault="00634B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53075C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C5100">
            <w:rPr>
              <w:noProof/>
            </w:rPr>
            <w:t>4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53075C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36AA7A6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8247" w14:textId="77777777" w:rsidR="00634BC0" w:rsidRDefault="00634BC0">
      <w:pPr>
        <w:spacing w:line="240" w:lineRule="auto"/>
      </w:pPr>
      <w:r>
        <w:separator/>
      </w:r>
    </w:p>
  </w:footnote>
  <w:footnote w:type="continuationSeparator" w:id="0">
    <w:p w14:paraId="5F30C128" w14:textId="77777777" w:rsidR="00634BC0" w:rsidRDefault="00634B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53075C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7B16D9B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D24DC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43A8"/>
    <w:multiLevelType w:val="hybridMultilevel"/>
    <w:tmpl w:val="96D8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14966"/>
    <w:multiLevelType w:val="hybridMultilevel"/>
    <w:tmpl w:val="1C48746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D10F0"/>
    <w:multiLevelType w:val="hybridMultilevel"/>
    <w:tmpl w:val="ED546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FAD604F"/>
    <w:multiLevelType w:val="hybridMultilevel"/>
    <w:tmpl w:val="26DAC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10B36"/>
    <w:multiLevelType w:val="hybridMultilevel"/>
    <w:tmpl w:val="56B6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73927">
    <w:abstractNumId w:val="25"/>
  </w:num>
  <w:num w:numId="2" w16cid:durableId="454131376">
    <w:abstractNumId w:val="18"/>
  </w:num>
  <w:num w:numId="3" w16cid:durableId="355695844">
    <w:abstractNumId w:val="14"/>
  </w:num>
  <w:num w:numId="4" w16cid:durableId="1364477538">
    <w:abstractNumId w:val="26"/>
  </w:num>
  <w:num w:numId="5" w16cid:durableId="142239947">
    <w:abstractNumId w:val="1"/>
  </w:num>
  <w:num w:numId="6" w16cid:durableId="1284267797">
    <w:abstractNumId w:val="2"/>
  </w:num>
  <w:num w:numId="7" w16cid:durableId="1237059227">
    <w:abstractNumId w:val="32"/>
  </w:num>
  <w:num w:numId="8" w16cid:durableId="913776570">
    <w:abstractNumId w:val="29"/>
  </w:num>
  <w:num w:numId="9" w16cid:durableId="1340739595">
    <w:abstractNumId w:val="10"/>
  </w:num>
  <w:num w:numId="10" w16cid:durableId="1429931269">
    <w:abstractNumId w:val="17"/>
  </w:num>
  <w:num w:numId="11" w16cid:durableId="782849408">
    <w:abstractNumId w:val="8"/>
  </w:num>
  <w:num w:numId="12" w16cid:durableId="1330404766">
    <w:abstractNumId w:val="23"/>
  </w:num>
  <w:num w:numId="13" w16cid:durableId="1279988897">
    <w:abstractNumId w:val="12"/>
  </w:num>
  <w:num w:numId="14" w16cid:durableId="177157538">
    <w:abstractNumId w:val="6"/>
  </w:num>
  <w:num w:numId="15" w16cid:durableId="2057271503">
    <w:abstractNumId w:val="13"/>
  </w:num>
  <w:num w:numId="16" w16cid:durableId="1878807753">
    <w:abstractNumId w:val="3"/>
  </w:num>
  <w:num w:numId="17" w16cid:durableId="2105030565">
    <w:abstractNumId w:val="21"/>
  </w:num>
  <w:num w:numId="18" w16cid:durableId="1155874708">
    <w:abstractNumId w:val="20"/>
  </w:num>
  <w:num w:numId="19" w16cid:durableId="1329023435">
    <w:abstractNumId w:val="5"/>
  </w:num>
  <w:num w:numId="20" w16cid:durableId="498034569">
    <w:abstractNumId w:val="22"/>
  </w:num>
  <w:num w:numId="21" w16cid:durableId="1010178119">
    <w:abstractNumId w:val="15"/>
  </w:num>
  <w:num w:numId="22" w16cid:durableId="112866777">
    <w:abstractNumId w:val="30"/>
  </w:num>
  <w:num w:numId="23" w16cid:durableId="1812136892">
    <w:abstractNumId w:val="31"/>
  </w:num>
  <w:num w:numId="24" w16cid:durableId="1303731766">
    <w:abstractNumId w:val="24"/>
  </w:num>
  <w:num w:numId="25" w16cid:durableId="1507592961">
    <w:abstractNumId w:val="28"/>
  </w:num>
  <w:num w:numId="26" w16cid:durableId="737939801">
    <w:abstractNumId w:val="7"/>
  </w:num>
  <w:num w:numId="27" w16cid:durableId="774061943">
    <w:abstractNumId w:val="33"/>
  </w:num>
  <w:num w:numId="28" w16cid:durableId="459685130">
    <w:abstractNumId w:val="9"/>
  </w:num>
  <w:num w:numId="29" w16cid:durableId="1072235488">
    <w:abstractNumId w:val="0"/>
  </w:num>
  <w:num w:numId="30" w16cid:durableId="765803526">
    <w:abstractNumId w:val="19"/>
  </w:num>
  <w:num w:numId="31" w16cid:durableId="1683699539">
    <w:abstractNumId w:val="27"/>
  </w:num>
  <w:num w:numId="32" w16cid:durableId="1304312063">
    <w:abstractNumId w:val="4"/>
  </w:num>
  <w:num w:numId="33" w16cid:durableId="417487790">
    <w:abstractNumId w:val="11"/>
  </w:num>
  <w:num w:numId="34" w16cid:durableId="1549613164">
    <w:abstractNumId w:val="16"/>
  </w:num>
  <w:num w:numId="35" w16cid:durableId="1556236140">
    <w:abstractNumId w:val="25"/>
  </w:num>
  <w:num w:numId="36" w16cid:durableId="582951243">
    <w:abstractNumId w:val="25"/>
  </w:num>
  <w:num w:numId="37" w16cid:durableId="15737373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9F"/>
    <w:rsid w:val="0000137C"/>
    <w:rsid w:val="000145B7"/>
    <w:rsid w:val="000225A6"/>
    <w:rsid w:val="0003366F"/>
    <w:rsid w:val="000406B1"/>
    <w:rsid w:val="0004157B"/>
    <w:rsid w:val="00043C8A"/>
    <w:rsid w:val="000556AA"/>
    <w:rsid w:val="000806D5"/>
    <w:rsid w:val="00081DAB"/>
    <w:rsid w:val="00081F77"/>
    <w:rsid w:val="000A006E"/>
    <w:rsid w:val="000D388A"/>
    <w:rsid w:val="000F2743"/>
    <w:rsid w:val="00137230"/>
    <w:rsid w:val="00141660"/>
    <w:rsid w:val="00145E2E"/>
    <w:rsid w:val="00154072"/>
    <w:rsid w:val="00181B4A"/>
    <w:rsid w:val="001B183D"/>
    <w:rsid w:val="001C5100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C4609"/>
    <w:rsid w:val="002D1245"/>
    <w:rsid w:val="002E2AD0"/>
    <w:rsid w:val="002E3C5A"/>
    <w:rsid w:val="00346D21"/>
    <w:rsid w:val="00383C5A"/>
    <w:rsid w:val="00395470"/>
    <w:rsid w:val="003C2ED5"/>
    <w:rsid w:val="003D0B09"/>
    <w:rsid w:val="003E27FC"/>
    <w:rsid w:val="00407BB1"/>
    <w:rsid w:val="00407F47"/>
    <w:rsid w:val="004214D4"/>
    <w:rsid w:val="0042660B"/>
    <w:rsid w:val="004377B9"/>
    <w:rsid w:val="004D34AE"/>
    <w:rsid w:val="004E3766"/>
    <w:rsid w:val="005024E1"/>
    <w:rsid w:val="0053075C"/>
    <w:rsid w:val="00540939"/>
    <w:rsid w:val="0056008D"/>
    <w:rsid w:val="005613E5"/>
    <w:rsid w:val="005B374D"/>
    <w:rsid w:val="005C5E2D"/>
    <w:rsid w:val="005D52ED"/>
    <w:rsid w:val="006103B3"/>
    <w:rsid w:val="00613D2D"/>
    <w:rsid w:val="00614810"/>
    <w:rsid w:val="006276D3"/>
    <w:rsid w:val="00634BC0"/>
    <w:rsid w:val="00673354"/>
    <w:rsid w:val="006C339D"/>
    <w:rsid w:val="006C594B"/>
    <w:rsid w:val="006D0AF0"/>
    <w:rsid w:val="006D4E1C"/>
    <w:rsid w:val="006D7A15"/>
    <w:rsid w:val="006E58BE"/>
    <w:rsid w:val="006F4150"/>
    <w:rsid w:val="007172A0"/>
    <w:rsid w:val="007401C9"/>
    <w:rsid w:val="00741331"/>
    <w:rsid w:val="00747112"/>
    <w:rsid w:val="0075497B"/>
    <w:rsid w:val="00764747"/>
    <w:rsid w:val="00770912"/>
    <w:rsid w:val="007776E2"/>
    <w:rsid w:val="007B5109"/>
    <w:rsid w:val="007C5916"/>
    <w:rsid w:val="0080300F"/>
    <w:rsid w:val="00816977"/>
    <w:rsid w:val="00822A97"/>
    <w:rsid w:val="008321CC"/>
    <w:rsid w:val="0084399F"/>
    <w:rsid w:val="008569C4"/>
    <w:rsid w:val="008703C2"/>
    <w:rsid w:val="00891CCC"/>
    <w:rsid w:val="008933D3"/>
    <w:rsid w:val="00896353"/>
    <w:rsid w:val="008A11B8"/>
    <w:rsid w:val="008B3D87"/>
    <w:rsid w:val="008F4222"/>
    <w:rsid w:val="009008B6"/>
    <w:rsid w:val="009102B7"/>
    <w:rsid w:val="00954377"/>
    <w:rsid w:val="00961E22"/>
    <w:rsid w:val="0098330B"/>
    <w:rsid w:val="00986531"/>
    <w:rsid w:val="0099702B"/>
    <w:rsid w:val="009A09A8"/>
    <w:rsid w:val="009A3703"/>
    <w:rsid w:val="009B5B73"/>
    <w:rsid w:val="009B6106"/>
    <w:rsid w:val="009D0C1B"/>
    <w:rsid w:val="00A06AF8"/>
    <w:rsid w:val="00A07639"/>
    <w:rsid w:val="00A57539"/>
    <w:rsid w:val="00A73169"/>
    <w:rsid w:val="00AB3D6E"/>
    <w:rsid w:val="00AB641F"/>
    <w:rsid w:val="00AD60E3"/>
    <w:rsid w:val="00AD715D"/>
    <w:rsid w:val="00AE5C40"/>
    <w:rsid w:val="00AE7FA9"/>
    <w:rsid w:val="00AF0936"/>
    <w:rsid w:val="00AF2AE3"/>
    <w:rsid w:val="00AF6645"/>
    <w:rsid w:val="00B1166B"/>
    <w:rsid w:val="00B12219"/>
    <w:rsid w:val="00B20D41"/>
    <w:rsid w:val="00B33264"/>
    <w:rsid w:val="00B62074"/>
    <w:rsid w:val="00B664A6"/>
    <w:rsid w:val="00B85C4B"/>
    <w:rsid w:val="00B94051"/>
    <w:rsid w:val="00BB4EA8"/>
    <w:rsid w:val="00BC4B10"/>
    <w:rsid w:val="00BC7E83"/>
    <w:rsid w:val="00BD18BC"/>
    <w:rsid w:val="00C07757"/>
    <w:rsid w:val="00C3713C"/>
    <w:rsid w:val="00C4765D"/>
    <w:rsid w:val="00C5376E"/>
    <w:rsid w:val="00C57F60"/>
    <w:rsid w:val="00C83B34"/>
    <w:rsid w:val="00CA707B"/>
    <w:rsid w:val="00CD79C5"/>
    <w:rsid w:val="00CE18DB"/>
    <w:rsid w:val="00CF0232"/>
    <w:rsid w:val="00D27242"/>
    <w:rsid w:val="00D40F66"/>
    <w:rsid w:val="00D527C5"/>
    <w:rsid w:val="00D62489"/>
    <w:rsid w:val="00D64A9B"/>
    <w:rsid w:val="00DC2093"/>
    <w:rsid w:val="00DC2DCA"/>
    <w:rsid w:val="00DD6D04"/>
    <w:rsid w:val="00DF24E9"/>
    <w:rsid w:val="00DF6016"/>
    <w:rsid w:val="00E100A8"/>
    <w:rsid w:val="00E31E10"/>
    <w:rsid w:val="00E4762B"/>
    <w:rsid w:val="00E679CE"/>
    <w:rsid w:val="00E70C89"/>
    <w:rsid w:val="00EA71DA"/>
    <w:rsid w:val="00EB546E"/>
    <w:rsid w:val="00F2185B"/>
    <w:rsid w:val="00F704D9"/>
    <w:rsid w:val="00F958A8"/>
    <w:rsid w:val="00FA4FFA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B641F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2C4609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B374D"/>
    <w:rPr>
      <w:color w:val="000000" w:themeColor="text1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B37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37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374D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74D"/>
    <w:rPr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FD7F40-73EF-4448-94CA-22CAA043E9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16</TotalTime>
  <Pages>4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14, Patient Safety and Restraint Alternatives</dc:title>
  <dc:creator>PC</dc:creator>
  <cp:lastModifiedBy>Devaraj N</cp:lastModifiedBy>
  <cp:revision>13</cp:revision>
  <dcterms:created xsi:type="dcterms:W3CDTF">2023-01-10T22:39:00Z</dcterms:created>
  <dcterms:modified xsi:type="dcterms:W3CDTF">2023-05-09T07:19:00Z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850027e43193c6160887b96481af5ef24261367d7ae95be31dd5766ad192ba22</vt:lpwstr>
  </property>
</Properties>
</file>