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BC5C4" w14:textId="5F8F8CDF" w:rsidR="0045584E" w:rsidRPr="003B7B57" w:rsidRDefault="00AE7FA9" w:rsidP="003B7B57">
      <w:pPr>
        <w:pStyle w:val="Heading1withoutnumbering"/>
        <w:rPr>
          <w:lang w:bidi="en-US"/>
        </w:rPr>
      </w:pPr>
      <w:r w:rsidRPr="003B7B57">
        <w:rPr>
          <w:noProof/>
          <w:lang w:val="en-IN" w:eastAsia="en-IN"/>
        </w:rPr>
        <mc:AlternateContent>
          <mc:Choice Requires="wps">
            <w:drawing>
              <wp:inline distT="0" distB="0" distL="0" distR="0" wp14:anchorId="477A0724" wp14:editId="48B99C3D">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AD7F78B"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45584E" w:rsidRPr="004165BF">
        <w:rPr>
          <w:rFonts w:ascii="Cambria" w:hAnsi="Cambria"/>
          <w:b/>
          <w:bCs/>
          <w:color w:val="007AC3" w:themeColor="accent1"/>
          <w:sz w:val="32"/>
          <w:szCs w:val="32"/>
          <w:lang w:bidi="en-US"/>
        </w:rPr>
        <w:t>Suggested Answers to Assignments</w:t>
      </w:r>
      <w:r w:rsidR="003B7B57" w:rsidRPr="004165BF">
        <w:rPr>
          <w:rFonts w:ascii="Cambria" w:hAnsi="Cambria"/>
          <w:b/>
          <w:bCs/>
          <w:color w:val="007AC3" w:themeColor="accent1"/>
          <w:sz w:val="32"/>
          <w:szCs w:val="32"/>
          <w:lang w:bidi="en-US"/>
        </w:rPr>
        <w:t xml:space="preserve">, </w:t>
      </w:r>
      <w:r w:rsidR="0045584E" w:rsidRPr="004165BF">
        <w:rPr>
          <w:rFonts w:ascii="Cambria" w:hAnsi="Cambria"/>
          <w:b/>
          <w:bCs/>
          <w:color w:val="007AC3" w:themeColor="accent1"/>
          <w:sz w:val="32"/>
          <w:szCs w:val="32"/>
          <w:lang w:bidi="en-US"/>
        </w:rPr>
        <w:t>Chapter</w:t>
      </w:r>
      <w:r w:rsidR="001871AA" w:rsidRPr="004165BF">
        <w:rPr>
          <w:rFonts w:ascii="Cambria" w:hAnsi="Cambria"/>
          <w:b/>
          <w:bCs/>
          <w:color w:val="007AC3" w:themeColor="accent1"/>
          <w:sz w:val="32"/>
          <w:szCs w:val="32"/>
          <w:lang w:bidi="en-US"/>
        </w:rPr>
        <w:t xml:space="preserve"> 15</w:t>
      </w:r>
      <w:r w:rsidR="0045584E" w:rsidRPr="004165BF">
        <w:rPr>
          <w:rFonts w:ascii="Cambria" w:hAnsi="Cambria"/>
          <w:b/>
          <w:bCs/>
          <w:color w:val="007AC3" w:themeColor="accent1"/>
          <w:sz w:val="32"/>
          <w:szCs w:val="32"/>
          <w:lang w:bidi="en-US"/>
        </w:rPr>
        <w:t>, Positioning, Lifting, and Transferring Patients and Residents</w:t>
      </w:r>
    </w:p>
    <w:p w14:paraId="22862C03" w14:textId="77777777" w:rsidR="00C83C60" w:rsidRPr="003B7B57" w:rsidRDefault="00C83C60" w:rsidP="00C83C60">
      <w:pPr>
        <w:rPr>
          <w:rFonts w:ascii="Verdana" w:hAnsi="Verdana"/>
          <w:sz w:val="22"/>
          <w:lang w:eastAsia="de-DE" w:bidi="en-US"/>
        </w:rPr>
      </w:pPr>
    </w:p>
    <w:tbl>
      <w:tblPr>
        <w:tblStyle w:val="TableGrid4"/>
        <w:tblW w:w="0" w:type="auto"/>
        <w:tblLook w:val="04A0" w:firstRow="1" w:lastRow="0" w:firstColumn="1" w:lastColumn="0" w:noHBand="0" w:noVBand="1"/>
        <w:tblDescription w:val="This table describes about the Written Assignments"/>
      </w:tblPr>
      <w:tblGrid>
        <w:gridCol w:w="7398"/>
        <w:gridCol w:w="2178"/>
      </w:tblGrid>
      <w:tr w:rsidR="0045584E" w:rsidRPr="003B7B57" w14:paraId="79DFFF54" w14:textId="77777777" w:rsidTr="0071780B">
        <w:trPr>
          <w:tblHeader/>
        </w:trPr>
        <w:tc>
          <w:tcPr>
            <w:tcW w:w="7398" w:type="dxa"/>
          </w:tcPr>
          <w:p w14:paraId="17CED9EE" w14:textId="77777777" w:rsidR="0045584E" w:rsidRPr="003B7B57" w:rsidRDefault="0045584E" w:rsidP="00C83C60">
            <w:pPr>
              <w:pStyle w:val="Heading2"/>
              <w:numPr>
                <w:ilvl w:val="0"/>
                <w:numId w:val="0"/>
              </w:numPr>
              <w:rPr>
                <w:rFonts w:ascii="Verdana" w:hAnsi="Verdana"/>
                <w:szCs w:val="22"/>
                <w:lang w:bidi="en-US"/>
              </w:rPr>
            </w:pPr>
            <w:r w:rsidRPr="003B7B57">
              <w:rPr>
                <w:rFonts w:ascii="Verdana" w:hAnsi="Verdana"/>
                <w:szCs w:val="22"/>
                <w:lang w:bidi="en-US"/>
              </w:rPr>
              <w:t>Written Assignments</w:t>
            </w:r>
          </w:p>
        </w:tc>
        <w:tc>
          <w:tcPr>
            <w:tcW w:w="2178" w:type="dxa"/>
          </w:tcPr>
          <w:p w14:paraId="758B3E3F" w14:textId="77777777" w:rsidR="0045584E" w:rsidRPr="003B7B57" w:rsidRDefault="0045584E" w:rsidP="00C83C60">
            <w:pPr>
              <w:pStyle w:val="Heading2"/>
              <w:numPr>
                <w:ilvl w:val="0"/>
                <w:numId w:val="0"/>
              </w:numPr>
              <w:rPr>
                <w:rFonts w:ascii="Verdana" w:hAnsi="Verdana"/>
                <w:szCs w:val="22"/>
                <w:lang w:bidi="en-US"/>
              </w:rPr>
            </w:pPr>
            <w:r w:rsidRPr="003B7B57">
              <w:rPr>
                <w:rFonts w:ascii="Verdana" w:hAnsi="Verdana"/>
                <w:szCs w:val="22"/>
                <w:lang w:bidi="en-US"/>
              </w:rPr>
              <w:t>Learning Objective(s)</w:t>
            </w:r>
          </w:p>
        </w:tc>
      </w:tr>
      <w:tr w:rsidR="0045584E" w:rsidRPr="003B7B57" w14:paraId="459FC71D" w14:textId="77777777" w:rsidTr="0071780B">
        <w:tc>
          <w:tcPr>
            <w:tcW w:w="7398" w:type="dxa"/>
          </w:tcPr>
          <w:p w14:paraId="215330E1" w14:textId="5E055045" w:rsidR="0045584E" w:rsidRPr="003B7B57" w:rsidRDefault="0045584E" w:rsidP="007641FB">
            <w:pPr>
              <w:spacing w:line="240" w:lineRule="auto"/>
              <w:rPr>
                <w:rFonts w:ascii="Verdana" w:hAnsi="Verdana"/>
                <w:i/>
                <w:color w:val="auto"/>
                <w:sz w:val="22"/>
                <w:szCs w:val="22"/>
                <w:lang w:bidi="en-US"/>
              </w:rPr>
            </w:pPr>
            <w:r w:rsidRPr="003B7B57">
              <w:rPr>
                <w:rFonts w:ascii="Verdana" w:hAnsi="Verdana"/>
                <w:color w:val="auto"/>
                <w:sz w:val="22"/>
                <w:szCs w:val="22"/>
                <w:lang w:bidi="en-US"/>
              </w:rPr>
              <w:t xml:space="preserve">Assignment #1. Students complete Chapter </w:t>
            </w:r>
            <w:r w:rsidR="007641FB" w:rsidRPr="003B7B57">
              <w:rPr>
                <w:rFonts w:ascii="Verdana" w:hAnsi="Verdana"/>
                <w:color w:val="auto"/>
                <w:sz w:val="22"/>
                <w:szCs w:val="22"/>
                <w:lang w:bidi="en-US"/>
              </w:rPr>
              <w:t>15</w:t>
            </w:r>
            <w:r w:rsidR="00D44046" w:rsidRPr="003B7B57">
              <w:rPr>
                <w:rFonts w:ascii="Verdana" w:hAnsi="Verdana"/>
                <w:color w:val="auto"/>
                <w:sz w:val="22"/>
                <w:szCs w:val="22"/>
                <w:lang w:bidi="en-US"/>
              </w:rPr>
              <w:t xml:space="preserve"> </w:t>
            </w:r>
            <w:r w:rsidRPr="003B7B57">
              <w:rPr>
                <w:rFonts w:ascii="Verdana" w:hAnsi="Verdana"/>
                <w:color w:val="auto"/>
                <w:sz w:val="22"/>
                <w:szCs w:val="22"/>
                <w:lang w:bidi="en-US"/>
              </w:rPr>
              <w:t xml:space="preserve">of </w:t>
            </w:r>
            <w:r w:rsidRPr="003B7B57">
              <w:rPr>
                <w:rFonts w:ascii="Verdana" w:hAnsi="Verdana"/>
                <w:i/>
                <w:color w:val="auto"/>
                <w:sz w:val="22"/>
                <w:szCs w:val="22"/>
                <w:lang w:bidi="en-US"/>
              </w:rPr>
              <w:t>Lippincott Workbook for Nursing Assistants.</w:t>
            </w:r>
          </w:p>
        </w:tc>
        <w:tc>
          <w:tcPr>
            <w:tcW w:w="2178" w:type="dxa"/>
          </w:tcPr>
          <w:p w14:paraId="0F86E8DB" w14:textId="77777777" w:rsidR="0045584E" w:rsidRPr="003B7B57" w:rsidRDefault="0045584E"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1–5</w:t>
            </w:r>
          </w:p>
        </w:tc>
      </w:tr>
      <w:tr w:rsidR="0045584E" w:rsidRPr="003B7B57" w14:paraId="62A654A2" w14:textId="77777777" w:rsidTr="0071780B">
        <w:tc>
          <w:tcPr>
            <w:tcW w:w="7398" w:type="dxa"/>
          </w:tcPr>
          <w:p w14:paraId="1DA68E29" w14:textId="400FA499" w:rsidR="0045584E" w:rsidRPr="003B7B57" w:rsidRDefault="004B2E37"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 xml:space="preserve">Assignment #2. </w:t>
            </w:r>
            <w:r w:rsidR="0045584E" w:rsidRPr="003B7B57">
              <w:rPr>
                <w:rFonts w:ascii="Verdana" w:hAnsi="Verdana"/>
                <w:color w:val="auto"/>
                <w:sz w:val="22"/>
                <w:szCs w:val="22"/>
                <w:lang w:bidi="en-US"/>
              </w:rPr>
              <w:t>Students’ responses should include:</w:t>
            </w:r>
          </w:p>
          <w:p w14:paraId="19A88095" w14:textId="77777777" w:rsidR="0045584E" w:rsidRPr="003B7B57" w:rsidRDefault="0045584E">
            <w:pPr>
              <w:numPr>
                <w:ilvl w:val="0"/>
                <w:numId w:val="5"/>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Plan the transfer and get help if necessary.</w:t>
            </w:r>
          </w:p>
          <w:p w14:paraId="705984C1" w14:textId="77777777" w:rsidR="0045584E" w:rsidRPr="003B7B57" w:rsidRDefault="0045584E">
            <w:pPr>
              <w:numPr>
                <w:ilvl w:val="0"/>
                <w:numId w:val="5"/>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Explain the procedure to the patient.</w:t>
            </w:r>
          </w:p>
          <w:p w14:paraId="3546DBE5" w14:textId="77777777" w:rsidR="0045584E" w:rsidRPr="003B7B57" w:rsidRDefault="0045584E">
            <w:pPr>
              <w:numPr>
                <w:ilvl w:val="0"/>
                <w:numId w:val="5"/>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Use correct body mechanics.</w:t>
            </w:r>
          </w:p>
          <w:p w14:paraId="7A6EBCB9" w14:textId="77777777" w:rsidR="0045584E" w:rsidRPr="003B7B57" w:rsidRDefault="0045584E">
            <w:pPr>
              <w:numPr>
                <w:ilvl w:val="0"/>
                <w:numId w:val="5"/>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Bed should be in lowest position and wheels locked on beds, stretchers, and wheelchairs.</w:t>
            </w:r>
          </w:p>
          <w:p w14:paraId="054B11ED" w14:textId="77777777" w:rsidR="0045584E" w:rsidRPr="003B7B57" w:rsidRDefault="0045584E">
            <w:pPr>
              <w:numPr>
                <w:ilvl w:val="0"/>
                <w:numId w:val="5"/>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Make sure the front swivel wheels of the wheelchair are facing forward.</w:t>
            </w:r>
          </w:p>
          <w:p w14:paraId="2BFB695F" w14:textId="77777777" w:rsidR="0045584E" w:rsidRPr="003B7B57" w:rsidRDefault="0045584E">
            <w:pPr>
              <w:numPr>
                <w:ilvl w:val="0"/>
                <w:numId w:val="5"/>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Check to see that clothing fits.</w:t>
            </w:r>
          </w:p>
          <w:p w14:paraId="670624CC" w14:textId="77777777" w:rsidR="0045584E" w:rsidRPr="003B7B57" w:rsidRDefault="0045584E">
            <w:pPr>
              <w:numPr>
                <w:ilvl w:val="0"/>
                <w:numId w:val="5"/>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Shoes should provide good foot support and have nonskid soles.</w:t>
            </w:r>
          </w:p>
          <w:p w14:paraId="71BE844B" w14:textId="77777777" w:rsidR="0045584E" w:rsidRPr="003B7B57" w:rsidRDefault="0045584E">
            <w:pPr>
              <w:numPr>
                <w:ilvl w:val="0"/>
                <w:numId w:val="5"/>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Transfer to the person’s strong side.</w:t>
            </w:r>
          </w:p>
          <w:p w14:paraId="34E61773" w14:textId="77777777" w:rsidR="0045584E" w:rsidRPr="003B7B57" w:rsidRDefault="0045584E">
            <w:pPr>
              <w:numPr>
                <w:ilvl w:val="0"/>
                <w:numId w:val="5"/>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Do not allow person to hold onto you.</w:t>
            </w:r>
          </w:p>
          <w:p w14:paraId="7A1E6752" w14:textId="77777777" w:rsidR="0045584E" w:rsidRPr="003B7B57" w:rsidRDefault="0045584E">
            <w:pPr>
              <w:numPr>
                <w:ilvl w:val="0"/>
                <w:numId w:val="5"/>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Do not place your hands under a person’s arm or arms to help support him.</w:t>
            </w:r>
          </w:p>
        </w:tc>
        <w:tc>
          <w:tcPr>
            <w:tcW w:w="2178" w:type="dxa"/>
          </w:tcPr>
          <w:p w14:paraId="7B6EBF1A" w14:textId="77777777" w:rsidR="0045584E" w:rsidRPr="003B7B57" w:rsidRDefault="0045584E"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4</w:t>
            </w:r>
          </w:p>
        </w:tc>
      </w:tr>
    </w:tbl>
    <w:p w14:paraId="2209C55D" w14:textId="77777777" w:rsidR="0045584E" w:rsidRPr="003B7B57" w:rsidRDefault="0045584E" w:rsidP="0045584E">
      <w:pPr>
        <w:spacing w:line="240" w:lineRule="auto"/>
        <w:rPr>
          <w:rFonts w:ascii="Verdana" w:eastAsia="Calibri" w:hAnsi="Verdana" w:cs="Times New Roman"/>
          <w:color w:val="auto"/>
          <w:sz w:val="22"/>
          <w:lang w:bidi="en-US"/>
        </w:rPr>
      </w:pPr>
    </w:p>
    <w:tbl>
      <w:tblPr>
        <w:tblStyle w:val="TableGrid4"/>
        <w:tblW w:w="0" w:type="auto"/>
        <w:tblLook w:val="04A0" w:firstRow="1" w:lastRow="0" w:firstColumn="1" w:lastColumn="0" w:noHBand="0" w:noVBand="1"/>
        <w:tblDescription w:val="This table describes about the Group Assignments"/>
      </w:tblPr>
      <w:tblGrid>
        <w:gridCol w:w="7398"/>
        <w:gridCol w:w="2178"/>
      </w:tblGrid>
      <w:tr w:rsidR="0045584E" w:rsidRPr="003B7B57" w14:paraId="30E3538A" w14:textId="77777777" w:rsidTr="0071780B">
        <w:trPr>
          <w:tblHeader/>
        </w:trPr>
        <w:tc>
          <w:tcPr>
            <w:tcW w:w="7398" w:type="dxa"/>
          </w:tcPr>
          <w:p w14:paraId="6BE53396" w14:textId="77777777" w:rsidR="0045584E" w:rsidRPr="003B7B57" w:rsidRDefault="0045584E" w:rsidP="00EC2A6C">
            <w:pPr>
              <w:pStyle w:val="Heading2"/>
              <w:numPr>
                <w:ilvl w:val="0"/>
                <w:numId w:val="0"/>
              </w:numPr>
              <w:rPr>
                <w:rFonts w:ascii="Verdana" w:hAnsi="Verdana"/>
                <w:szCs w:val="22"/>
                <w:lang w:bidi="en-US"/>
              </w:rPr>
            </w:pPr>
            <w:r w:rsidRPr="003B7B57">
              <w:rPr>
                <w:rFonts w:ascii="Verdana" w:hAnsi="Verdana"/>
                <w:szCs w:val="22"/>
                <w:lang w:bidi="en-US"/>
              </w:rPr>
              <w:t>Group Assignments</w:t>
            </w:r>
          </w:p>
        </w:tc>
        <w:tc>
          <w:tcPr>
            <w:tcW w:w="2178" w:type="dxa"/>
          </w:tcPr>
          <w:p w14:paraId="52F8E12D" w14:textId="77777777" w:rsidR="0045584E" w:rsidRPr="003B7B57" w:rsidRDefault="0045584E" w:rsidP="00EC2A6C">
            <w:pPr>
              <w:pStyle w:val="Heading2"/>
              <w:numPr>
                <w:ilvl w:val="0"/>
                <w:numId w:val="0"/>
              </w:numPr>
              <w:rPr>
                <w:rFonts w:ascii="Verdana" w:hAnsi="Verdana"/>
                <w:szCs w:val="22"/>
                <w:lang w:bidi="en-US"/>
              </w:rPr>
            </w:pPr>
            <w:r w:rsidRPr="003B7B57">
              <w:rPr>
                <w:rFonts w:ascii="Verdana" w:hAnsi="Verdana"/>
                <w:szCs w:val="22"/>
                <w:lang w:bidi="en-US"/>
              </w:rPr>
              <w:t>Learning Objective(s)</w:t>
            </w:r>
          </w:p>
        </w:tc>
      </w:tr>
      <w:tr w:rsidR="0045584E" w:rsidRPr="003B7B57" w14:paraId="7037527F" w14:textId="77777777" w:rsidTr="0071780B">
        <w:tc>
          <w:tcPr>
            <w:tcW w:w="7398" w:type="dxa"/>
          </w:tcPr>
          <w:p w14:paraId="1C08A6F5" w14:textId="7C16037D" w:rsidR="0045584E" w:rsidRPr="003B7B57" w:rsidRDefault="004B2E37"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 xml:space="preserve">Assignment #1. </w:t>
            </w:r>
            <w:r w:rsidR="0045584E" w:rsidRPr="003B7B57">
              <w:rPr>
                <w:rFonts w:ascii="Verdana" w:hAnsi="Verdana"/>
                <w:color w:val="auto"/>
                <w:sz w:val="22"/>
                <w:szCs w:val="22"/>
                <w:lang w:bidi="en-US"/>
              </w:rPr>
              <w:t>Students’ responses should include:</w:t>
            </w:r>
          </w:p>
          <w:p w14:paraId="12F9C5F8" w14:textId="77777777" w:rsidR="0045584E" w:rsidRPr="003B7B57" w:rsidRDefault="0045584E">
            <w:pPr>
              <w:numPr>
                <w:ilvl w:val="0"/>
                <w:numId w:val="6"/>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Pain or discomfort is caused by pressure on soft tissues between bone and a firm surface which can lead to skin breakdown unless repositioning occurs.</w:t>
            </w:r>
          </w:p>
          <w:p w14:paraId="132C8114" w14:textId="77777777" w:rsidR="0045584E" w:rsidRPr="003B7B57" w:rsidRDefault="0045584E">
            <w:pPr>
              <w:numPr>
                <w:ilvl w:val="0"/>
                <w:numId w:val="6"/>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Pain or discomfort is caused by strain on muscles and joints when the body is out of proper alignment.</w:t>
            </w:r>
          </w:p>
        </w:tc>
        <w:tc>
          <w:tcPr>
            <w:tcW w:w="2178" w:type="dxa"/>
          </w:tcPr>
          <w:p w14:paraId="2D60A8C5" w14:textId="52B73593" w:rsidR="0045584E" w:rsidRPr="003B7B57" w:rsidRDefault="0045584E"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1, 2</w:t>
            </w:r>
            <w:r w:rsidR="00155618" w:rsidRPr="003B7B57">
              <w:rPr>
                <w:rFonts w:ascii="Verdana" w:hAnsi="Verdana"/>
                <w:color w:val="auto"/>
                <w:sz w:val="22"/>
                <w:szCs w:val="22"/>
                <w:lang w:bidi="en-US"/>
              </w:rPr>
              <w:t>, 3</w:t>
            </w:r>
          </w:p>
        </w:tc>
      </w:tr>
      <w:tr w:rsidR="0045584E" w:rsidRPr="003B7B57" w14:paraId="214C0DAE" w14:textId="77777777" w:rsidTr="0071780B">
        <w:tc>
          <w:tcPr>
            <w:tcW w:w="7398" w:type="dxa"/>
          </w:tcPr>
          <w:p w14:paraId="1564D68A" w14:textId="7AC048C4" w:rsidR="0045584E" w:rsidRPr="003B7B57" w:rsidRDefault="004B2E37"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 xml:space="preserve">Assignment #2. </w:t>
            </w:r>
            <w:r w:rsidR="0045584E" w:rsidRPr="003B7B57">
              <w:rPr>
                <w:rFonts w:ascii="Verdana" w:hAnsi="Verdana"/>
                <w:color w:val="auto"/>
                <w:sz w:val="22"/>
                <w:szCs w:val="22"/>
                <w:lang w:bidi="en-US"/>
              </w:rPr>
              <w:t>Students’ responses could include:</w:t>
            </w:r>
          </w:p>
          <w:p w14:paraId="58871E1C" w14:textId="77777777" w:rsidR="0045584E" w:rsidRPr="003B7B57" w:rsidRDefault="0045584E">
            <w:pPr>
              <w:numPr>
                <w:ilvl w:val="0"/>
                <w:numId w:val="7"/>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Physical discomfort</w:t>
            </w:r>
          </w:p>
          <w:p w14:paraId="529AF7EE" w14:textId="77777777" w:rsidR="0045584E" w:rsidRPr="003B7B57" w:rsidRDefault="0045584E">
            <w:pPr>
              <w:numPr>
                <w:ilvl w:val="0"/>
                <w:numId w:val="7"/>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Frustration</w:t>
            </w:r>
          </w:p>
          <w:p w14:paraId="1E26448C" w14:textId="77777777" w:rsidR="0045584E" w:rsidRPr="003B7B57" w:rsidRDefault="0045584E">
            <w:pPr>
              <w:numPr>
                <w:ilvl w:val="0"/>
                <w:numId w:val="7"/>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Increased body awareness</w:t>
            </w:r>
          </w:p>
        </w:tc>
        <w:tc>
          <w:tcPr>
            <w:tcW w:w="2178" w:type="dxa"/>
          </w:tcPr>
          <w:p w14:paraId="3D207598" w14:textId="77777777" w:rsidR="0045584E" w:rsidRPr="003B7B57" w:rsidRDefault="0045584E"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3</w:t>
            </w:r>
          </w:p>
        </w:tc>
      </w:tr>
      <w:tr w:rsidR="0045584E" w:rsidRPr="003B7B57" w14:paraId="64CB2024" w14:textId="77777777" w:rsidTr="0071780B">
        <w:tc>
          <w:tcPr>
            <w:tcW w:w="7398" w:type="dxa"/>
          </w:tcPr>
          <w:p w14:paraId="7DB58E4B" w14:textId="268E0455" w:rsidR="0045584E" w:rsidRPr="003B7B57" w:rsidRDefault="004B2E37"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Assignment #3.</w:t>
            </w:r>
          </w:p>
          <w:p w14:paraId="3920DB64" w14:textId="77777777" w:rsidR="0045584E" w:rsidRPr="003B7B57" w:rsidRDefault="0045584E">
            <w:pPr>
              <w:numPr>
                <w:ilvl w:val="0"/>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Musculoskeletal</w:t>
            </w:r>
          </w:p>
          <w:p w14:paraId="3C8D66D1"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Brittle bones</w:t>
            </w:r>
          </w:p>
          <w:p w14:paraId="17AE3173"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Contractures</w:t>
            </w:r>
          </w:p>
          <w:p w14:paraId="10ABD43C"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Muscle weakness</w:t>
            </w:r>
          </w:p>
          <w:p w14:paraId="2AF9B1E7" w14:textId="77777777" w:rsidR="0045584E" w:rsidRPr="003B7B57" w:rsidRDefault="0045584E">
            <w:pPr>
              <w:numPr>
                <w:ilvl w:val="0"/>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lastRenderedPageBreak/>
              <w:t>Nervous system</w:t>
            </w:r>
          </w:p>
          <w:p w14:paraId="482AB5EC"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Lack of stimulation</w:t>
            </w:r>
          </w:p>
          <w:p w14:paraId="2991F1C2"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Anxiety</w:t>
            </w:r>
          </w:p>
          <w:p w14:paraId="5EF45CD7"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Feeling isolated</w:t>
            </w:r>
          </w:p>
          <w:p w14:paraId="5F9A9B3D" w14:textId="77777777" w:rsidR="0045584E" w:rsidRPr="003B7B57" w:rsidRDefault="0045584E">
            <w:pPr>
              <w:numPr>
                <w:ilvl w:val="0"/>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Digestive system</w:t>
            </w:r>
          </w:p>
          <w:p w14:paraId="49426C05"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Decreased appetite</w:t>
            </w:r>
          </w:p>
          <w:p w14:paraId="1436D522"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Constipation</w:t>
            </w:r>
          </w:p>
          <w:p w14:paraId="169B409C"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Incontinence</w:t>
            </w:r>
          </w:p>
          <w:p w14:paraId="5D0A708B" w14:textId="77777777" w:rsidR="0045584E" w:rsidRPr="003B7B57" w:rsidRDefault="0045584E">
            <w:pPr>
              <w:numPr>
                <w:ilvl w:val="0"/>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Integumentary system</w:t>
            </w:r>
          </w:p>
          <w:p w14:paraId="748C7676"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Decreased blood flow</w:t>
            </w:r>
          </w:p>
          <w:p w14:paraId="4BA97145"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Pressure ulcers</w:t>
            </w:r>
          </w:p>
          <w:p w14:paraId="3E6B4D31"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Broken skin due to friction and shearing</w:t>
            </w:r>
          </w:p>
          <w:p w14:paraId="357D2492" w14:textId="77777777" w:rsidR="0045584E" w:rsidRPr="003B7B57" w:rsidRDefault="0045584E">
            <w:pPr>
              <w:numPr>
                <w:ilvl w:val="0"/>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Cardiovascular system</w:t>
            </w:r>
          </w:p>
          <w:p w14:paraId="1CF0D1BA"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Blood clots</w:t>
            </w:r>
          </w:p>
          <w:p w14:paraId="5DAA9A7F"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Decreased blood flow</w:t>
            </w:r>
          </w:p>
          <w:p w14:paraId="74F5D060" w14:textId="77777777" w:rsidR="0045584E" w:rsidRPr="003B7B57" w:rsidRDefault="0045584E">
            <w:pPr>
              <w:numPr>
                <w:ilvl w:val="0"/>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Respiratory system</w:t>
            </w:r>
          </w:p>
          <w:p w14:paraId="1547F5B4"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Pneumonia</w:t>
            </w:r>
          </w:p>
          <w:p w14:paraId="04A9B391"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Decreased respiratory effort</w:t>
            </w:r>
          </w:p>
          <w:p w14:paraId="7D5A657D"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Decreased oxygenation of the blood</w:t>
            </w:r>
          </w:p>
          <w:p w14:paraId="0FF465DF" w14:textId="77777777" w:rsidR="0045584E" w:rsidRPr="003B7B57" w:rsidRDefault="0045584E">
            <w:pPr>
              <w:numPr>
                <w:ilvl w:val="0"/>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Urinary system</w:t>
            </w:r>
          </w:p>
          <w:p w14:paraId="2DF4E06C"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Decreased kidney function</w:t>
            </w:r>
          </w:p>
          <w:p w14:paraId="265262DB"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Incontinence</w:t>
            </w:r>
          </w:p>
          <w:p w14:paraId="41A73A4F" w14:textId="77777777" w:rsidR="0045584E" w:rsidRPr="003B7B57" w:rsidRDefault="0045584E">
            <w:pPr>
              <w:numPr>
                <w:ilvl w:val="1"/>
                <w:numId w:val="8"/>
              </w:numPr>
              <w:spacing w:line="240" w:lineRule="auto"/>
              <w:contextualSpacing/>
              <w:rPr>
                <w:rFonts w:ascii="Verdana" w:hAnsi="Verdana"/>
                <w:color w:val="auto"/>
                <w:sz w:val="22"/>
                <w:szCs w:val="22"/>
                <w:lang w:bidi="en-US"/>
              </w:rPr>
            </w:pPr>
            <w:r w:rsidRPr="003B7B57">
              <w:rPr>
                <w:rFonts w:ascii="Verdana" w:hAnsi="Verdana"/>
                <w:color w:val="auto"/>
                <w:sz w:val="22"/>
                <w:szCs w:val="22"/>
                <w:lang w:bidi="en-US"/>
              </w:rPr>
              <w:t>Urinary tract infection</w:t>
            </w:r>
          </w:p>
        </w:tc>
        <w:tc>
          <w:tcPr>
            <w:tcW w:w="2178" w:type="dxa"/>
          </w:tcPr>
          <w:p w14:paraId="4774BEDE" w14:textId="77777777" w:rsidR="0045584E" w:rsidRPr="003B7B57" w:rsidRDefault="0045584E"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lastRenderedPageBreak/>
              <w:t>1</w:t>
            </w:r>
          </w:p>
        </w:tc>
      </w:tr>
    </w:tbl>
    <w:p w14:paraId="5F9CE895" w14:textId="77777777" w:rsidR="0045584E" w:rsidRPr="003B7B57" w:rsidRDefault="0045584E" w:rsidP="0045584E">
      <w:pPr>
        <w:spacing w:line="240" w:lineRule="auto"/>
        <w:rPr>
          <w:rFonts w:ascii="Verdana" w:eastAsia="Calibri" w:hAnsi="Verdana" w:cs="Times New Roman"/>
          <w:color w:val="auto"/>
          <w:sz w:val="22"/>
          <w:lang w:bidi="en-US"/>
        </w:rPr>
      </w:pPr>
    </w:p>
    <w:tbl>
      <w:tblPr>
        <w:tblStyle w:val="TableGrid4"/>
        <w:tblW w:w="0" w:type="auto"/>
        <w:tblLook w:val="04A0" w:firstRow="1" w:lastRow="0" w:firstColumn="1" w:lastColumn="0" w:noHBand="0" w:noVBand="1"/>
        <w:tblDescription w:val="This table describes about the Clinical Assignments"/>
      </w:tblPr>
      <w:tblGrid>
        <w:gridCol w:w="7398"/>
        <w:gridCol w:w="2178"/>
      </w:tblGrid>
      <w:tr w:rsidR="0045584E" w:rsidRPr="003B7B57" w14:paraId="2B8A9859" w14:textId="77777777" w:rsidTr="0071780B">
        <w:trPr>
          <w:tblHeader/>
        </w:trPr>
        <w:tc>
          <w:tcPr>
            <w:tcW w:w="7398" w:type="dxa"/>
          </w:tcPr>
          <w:p w14:paraId="21937E5D" w14:textId="77777777" w:rsidR="0045584E" w:rsidRPr="003B7B57" w:rsidRDefault="0045584E" w:rsidP="00EC2A6C">
            <w:pPr>
              <w:pStyle w:val="Heading2"/>
              <w:numPr>
                <w:ilvl w:val="0"/>
                <w:numId w:val="0"/>
              </w:numPr>
              <w:rPr>
                <w:rFonts w:ascii="Verdana" w:hAnsi="Verdana"/>
                <w:szCs w:val="22"/>
                <w:lang w:bidi="en-US"/>
              </w:rPr>
            </w:pPr>
            <w:r w:rsidRPr="003B7B57">
              <w:rPr>
                <w:rFonts w:ascii="Verdana" w:hAnsi="Verdana"/>
                <w:szCs w:val="22"/>
                <w:lang w:bidi="en-US"/>
              </w:rPr>
              <w:t>Clinical Assignments</w:t>
            </w:r>
          </w:p>
        </w:tc>
        <w:tc>
          <w:tcPr>
            <w:tcW w:w="2178" w:type="dxa"/>
          </w:tcPr>
          <w:p w14:paraId="32636E48" w14:textId="77777777" w:rsidR="0045584E" w:rsidRPr="003B7B57" w:rsidRDefault="0045584E" w:rsidP="00EC2A6C">
            <w:pPr>
              <w:pStyle w:val="Heading2"/>
              <w:numPr>
                <w:ilvl w:val="0"/>
                <w:numId w:val="0"/>
              </w:numPr>
              <w:rPr>
                <w:rFonts w:ascii="Verdana" w:hAnsi="Verdana"/>
                <w:szCs w:val="22"/>
                <w:lang w:bidi="en-US"/>
              </w:rPr>
            </w:pPr>
            <w:r w:rsidRPr="003B7B57">
              <w:rPr>
                <w:rFonts w:ascii="Verdana" w:hAnsi="Verdana"/>
                <w:szCs w:val="22"/>
                <w:lang w:bidi="en-US"/>
              </w:rPr>
              <w:t>Learning Objective(s)</w:t>
            </w:r>
          </w:p>
        </w:tc>
      </w:tr>
      <w:tr w:rsidR="0045584E" w:rsidRPr="003B7B57" w14:paraId="10CF9133" w14:textId="77777777" w:rsidTr="0071780B">
        <w:tc>
          <w:tcPr>
            <w:tcW w:w="7398" w:type="dxa"/>
          </w:tcPr>
          <w:p w14:paraId="7F036026" w14:textId="4DB098B2" w:rsidR="0045584E" w:rsidRPr="003B7B57" w:rsidRDefault="004B2E37"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Assignment #1.</w:t>
            </w:r>
            <w:r w:rsidR="0045584E" w:rsidRPr="003B7B57">
              <w:rPr>
                <w:rFonts w:ascii="Verdana" w:hAnsi="Verdana"/>
                <w:color w:val="auto"/>
                <w:sz w:val="22"/>
                <w:szCs w:val="22"/>
                <w:lang w:bidi="en-US"/>
              </w:rPr>
              <w:t xml:space="preserve"> Students watch Module 3 of </w:t>
            </w:r>
            <w:r w:rsidR="0045584E" w:rsidRPr="003B7B57">
              <w:rPr>
                <w:rFonts w:ascii="Verdana" w:hAnsi="Verdana"/>
                <w:i/>
                <w:iCs/>
                <w:color w:val="auto"/>
                <w:sz w:val="22"/>
                <w:szCs w:val="22"/>
                <w:lang w:bidi="en-US"/>
              </w:rPr>
              <w:t>Lippincott Video Series for Nursing Assistants</w:t>
            </w:r>
            <w:r w:rsidR="0045584E" w:rsidRPr="003B7B57">
              <w:rPr>
                <w:rFonts w:ascii="Verdana" w:hAnsi="Verdana"/>
                <w:color w:val="auto"/>
                <w:sz w:val="22"/>
                <w:szCs w:val="22"/>
                <w:lang w:bidi="en-US"/>
              </w:rPr>
              <w:t>.</w:t>
            </w:r>
          </w:p>
        </w:tc>
        <w:tc>
          <w:tcPr>
            <w:tcW w:w="2178" w:type="dxa"/>
          </w:tcPr>
          <w:p w14:paraId="3F8C9F7F" w14:textId="77777777" w:rsidR="0045584E" w:rsidRPr="003B7B57" w:rsidRDefault="0045584E"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3</w:t>
            </w:r>
          </w:p>
        </w:tc>
      </w:tr>
      <w:tr w:rsidR="0045584E" w:rsidRPr="003B7B57" w14:paraId="2E7A0EF4" w14:textId="77777777" w:rsidTr="0071780B">
        <w:tc>
          <w:tcPr>
            <w:tcW w:w="7398" w:type="dxa"/>
          </w:tcPr>
          <w:p w14:paraId="0601FEA3" w14:textId="6CE9B8DF" w:rsidR="0045584E" w:rsidRPr="003B7B57" w:rsidRDefault="004B2E37"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 xml:space="preserve">Assignment #2. </w:t>
            </w:r>
            <w:r w:rsidR="0045584E" w:rsidRPr="003B7B57">
              <w:rPr>
                <w:rFonts w:ascii="Verdana" w:hAnsi="Verdana"/>
                <w:color w:val="auto"/>
                <w:sz w:val="22"/>
                <w:szCs w:val="22"/>
                <w:lang w:bidi="en-US"/>
              </w:rPr>
              <w:t xml:space="preserve">Students watch Module 4 of </w:t>
            </w:r>
            <w:r w:rsidR="0045584E" w:rsidRPr="003B7B57">
              <w:rPr>
                <w:rFonts w:ascii="Verdana" w:hAnsi="Verdana"/>
                <w:i/>
                <w:iCs/>
                <w:color w:val="auto"/>
                <w:sz w:val="22"/>
                <w:szCs w:val="22"/>
                <w:lang w:bidi="en-US"/>
              </w:rPr>
              <w:t>Lippincott Video Series for Nursing Assistants</w:t>
            </w:r>
            <w:r w:rsidR="00342DA0" w:rsidRPr="003B7B57">
              <w:rPr>
                <w:rFonts w:ascii="Verdana" w:hAnsi="Verdana"/>
                <w:i/>
                <w:iCs/>
                <w:color w:val="auto"/>
                <w:sz w:val="22"/>
                <w:szCs w:val="22"/>
                <w:lang w:bidi="en-US"/>
              </w:rPr>
              <w:t>.</w:t>
            </w:r>
          </w:p>
        </w:tc>
        <w:tc>
          <w:tcPr>
            <w:tcW w:w="2178" w:type="dxa"/>
          </w:tcPr>
          <w:p w14:paraId="15927408" w14:textId="77777777" w:rsidR="0045584E" w:rsidRPr="003B7B57" w:rsidRDefault="0045584E"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4</w:t>
            </w:r>
          </w:p>
        </w:tc>
      </w:tr>
      <w:tr w:rsidR="0045584E" w:rsidRPr="003B7B57" w14:paraId="06A11BE3" w14:textId="77777777" w:rsidTr="0071780B">
        <w:tc>
          <w:tcPr>
            <w:tcW w:w="7398" w:type="dxa"/>
          </w:tcPr>
          <w:p w14:paraId="1B9C7B63" w14:textId="21CB381C" w:rsidR="0045584E" w:rsidRPr="003B7B57" w:rsidRDefault="004B2E37"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 xml:space="preserve">Assignment #3. </w:t>
            </w:r>
            <w:r w:rsidR="0045584E" w:rsidRPr="003B7B57">
              <w:rPr>
                <w:rFonts w:ascii="Verdana" w:hAnsi="Verdana"/>
                <w:color w:val="auto"/>
                <w:sz w:val="22"/>
                <w:szCs w:val="22"/>
                <w:lang w:bidi="en-US"/>
              </w:rPr>
              <w:t xml:space="preserve"> A nurse or physical therapist will talk with the students about the use of good body mechanics while repositioning, lifting, or transferring patients or residents, and will demonstrate the use of the mechanical lifts used in that clinical setting.</w:t>
            </w:r>
          </w:p>
        </w:tc>
        <w:tc>
          <w:tcPr>
            <w:tcW w:w="2178" w:type="dxa"/>
          </w:tcPr>
          <w:p w14:paraId="5D364926" w14:textId="5419FD61" w:rsidR="0045584E" w:rsidRPr="003B7B57" w:rsidRDefault="00155618"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 xml:space="preserve">2, 4, </w:t>
            </w:r>
            <w:r w:rsidR="0045584E" w:rsidRPr="003B7B57">
              <w:rPr>
                <w:rFonts w:ascii="Verdana" w:hAnsi="Verdana"/>
                <w:color w:val="auto"/>
                <w:sz w:val="22"/>
                <w:szCs w:val="22"/>
                <w:lang w:bidi="en-US"/>
              </w:rPr>
              <w:t>5</w:t>
            </w:r>
          </w:p>
        </w:tc>
      </w:tr>
      <w:tr w:rsidR="0045584E" w:rsidRPr="003B7B57" w14:paraId="2F097550" w14:textId="77777777" w:rsidTr="0071780B">
        <w:tc>
          <w:tcPr>
            <w:tcW w:w="7398" w:type="dxa"/>
          </w:tcPr>
          <w:p w14:paraId="6DB78836" w14:textId="36D58A13" w:rsidR="0045584E" w:rsidRPr="003B7B57" w:rsidRDefault="004B2E37" w:rsidP="007641FB">
            <w:pPr>
              <w:spacing w:line="240" w:lineRule="auto"/>
              <w:rPr>
                <w:rFonts w:ascii="Verdana" w:hAnsi="Verdana"/>
                <w:color w:val="auto"/>
                <w:sz w:val="22"/>
                <w:szCs w:val="22"/>
                <w:lang w:bidi="en-US"/>
              </w:rPr>
            </w:pPr>
            <w:r w:rsidRPr="003B7B57">
              <w:rPr>
                <w:rFonts w:ascii="Verdana" w:hAnsi="Verdana"/>
                <w:color w:val="auto"/>
                <w:sz w:val="22"/>
                <w:szCs w:val="22"/>
                <w:lang w:bidi="en-US"/>
              </w:rPr>
              <w:t xml:space="preserve">Assignment #4. </w:t>
            </w:r>
            <w:r w:rsidR="0045584E" w:rsidRPr="003B7B57">
              <w:rPr>
                <w:rFonts w:ascii="Verdana" w:hAnsi="Verdana"/>
                <w:color w:val="auto"/>
                <w:sz w:val="22"/>
                <w:szCs w:val="22"/>
                <w:lang w:bidi="en-US"/>
              </w:rPr>
              <w:t xml:space="preserve"> Demonstrate for the students and have them practice the procedures in Chapter </w:t>
            </w:r>
            <w:r w:rsidR="007641FB" w:rsidRPr="003B7B57">
              <w:rPr>
                <w:rFonts w:ascii="Verdana" w:hAnsi="Verdana"/>
                <w:color w:val="auto"/>
                <w:sz w:val="22"/>
                <w:szCs w:val="22"/>
                <w:lang w:bidi="en-US"/>
              </w:rPr>
              <w:t>15</w:t>
            </w:r>
            <w:r w:rsidR="0045584E" w:rsidRPr="003B7B57">
              <w:rPr>
                <w:rFonts w:ascii="Verdana" w:hAnsi="Verdana"/>
                <w:color w:val="auto"/>
                <w:sz w:val="22"/>
                <w:szCs w:val="22"/>
                <w:lang w:bidi="en-US"/>
              </w:rPr>
              <w:t xml:space="preserve"> using the procedure check-off lists in </w:t>
            </w:r>
            <w:r w:rsidR="0045584E" w:rsidRPr="003B7B57">
              <w:rPr>
                <w:rFonts w:ascii="Verdana" w:hAnsi="Verdana"/>
                <w:i/>
                <w:iCs/>
                <w:color w:val="auto"/>
                <w:sz w:val="22"/>
                <w:szCs w:val="22"/>
                <w:lang w:bidi="en-US"/>
              </w:rPr>
              <w:t>Lippincott Workbook for Nursing Assistants</w:t>
            </w:r>
            <w:r w:rsidR="0045584E" w:rsidRPr="003B7B57">
              <w:rPr>
                <w:rFonts w:ascii="Verdana" w:hAnsi="Verdana"/>
                <w:color w:val="auto"/>
                <w:sz w:val="22"/>
                <w:szCs w:val="22"/>
                <w:lang w:bidi="en-US"/>
              </w:rPr>
              <w:t>. It is probably more effective to break up the procedures into two groups: positioning and lifting/transferring.</w:t>
            </w:r>
          </w:p>
        </w:tc>
        <w:tc>
          <w:tcPr>
            <w:tcW w:w="2178" w:type="dxa"/>
          </w:tcPr>
          <w:p w14:paraId="34F17B06" w14:textId="77777777" w:rsidR="0045584E" w:rsidRPr="003B7B57" w:rsidRDefault="0045584E" w:rsidP="0045584E">
            <w:pPr>
              <w:spacing w:line="240" w:lineRule="auto"/>
              <w:rPr>
                <w:rFonts w:ascii="Verdana" w:hAnsi="Verdana"/>
                <w:color w:val="auto"/>
                <w:sz w:val="22"/>
                <w:szCs w:val="22"/>
                <w:lang w:bidi="en-US"/>
              </w:rPr>
            </w:pPr>
            <w:r w:rsidRPr="003B7B57">
              <w:rPr>
                <w:rFonts w:ascii="Verdana" w:hAnsi="Verdana"/>
                <w:color w:val="auto"/>
                <w:sz w:val="22"/>
                <w:szCs w:val="22"/>
                <w:lang w:bidi="en-US"/>
              </w:rPr>
              <w:t>5</w:t>
            </w:r>
          </w:p>
        </w:tc>
      </w:tr>
    </w:tbl>
    <w:p w14:paraId="18E659A1" w14:textId="77777777" w:rsidR="0045584E" w:rsidRPr="003B7B57" w:rsidRDefault="0045584E" w:rsidP="0045584E">
      <w:pPr>
        <w:spacing w:line="240" w:lineRule="auto"/>
        <w:rPr>
          <w:rFonts w:ascii="Verdana" w:eastAsia="Calibri" w:hAnsi="Verdana" w:cs="Times New Roman"/>
          <w:color w:val="auto"/>
          <w:sz w:val="22"/>
          <w:lang w:bidi="en-US"/>
        </w:rPr>
      </w:pPr>
    </w:p>
    <w:tbl>
      <w:tblPr>
        <w:tblStyle w:val="TableGrid4"/>
        <w:tblW w:w="0" w:type="auto"/>
        <w:tblLook w:val="04A0" w:firstRow="1" w:lastRow="0" w:firstColumn="1" w:lastColumn="0" w:noHBand="0" w:noVBand="1"/>
        <w:tblDescription w:val="This table describes about the Web Assignment"/>
      </w:tblPr>
      <w:tblGrid>
        <w:gridCol w:w="7589"/>
        <w:gridCol w:w="2178"/>
      </w:tblGrid>
      <w:tr w:rsidR="0045584E" w:rsidRPr="003B7B57" w14:paraId="5A999FC6" w14:textId="77777777" w:rsidTr="0071780B">
        <w:trPr>
          <w:tblHeader/>
        </w:trPr>
        <w:tc>
          <w:tcPr>
            <w:tcW w:w="7398" w:type="dxa"/>
          </w:tcPr>
          <w:p w14:paraId="5809279D" w14:textId="77777777" w:rsidR="0045584E" w:rsidRPr="003B7B57" w:rsidRDefault="0045584E" w:rsidP="00EC2A6C">
            <w:pPr>
              <w:pStyle w:val="Heading2"/>
              <w:numPr>
                <w:ilvl w:val="0"/>
                <w:numId w:val="0"/>
              </w:numPr>
              <w:rPr>
                <w:rFonts w:ascii="Verdana" w:hAnsi="Verdana"/>
                <w:szCs w:val="22"/>
                <w:lang w:bidi="en-US"/>
              </w:rPr>
            </w:pPr>
            <w:r w:rsidRPr="003B7B57">
              <w:rPr>
                <w:rFonts w:ascii="Verdana" w:hAnsi="Verdana"/>
                <w:szCs w:val="22"/>
                <w:lang w:bidi="en-US"/>
              </w:rPr>
              <w:lastRenderedPageBreak/>
              <w:t>Web Assignment</w:t>
            </w:r>
          </w:p>
        </w:tc>
        <w:tc>
          <w:tcPr>
            <w:tcW w:w="2178" w:type="dxa"/>
          </w:tcPr>
          <w:p w14:paraId="72419FBA" w14:textId="6DCCFDD7" w:rsidR="0045584E" w:rsidRPr="003B7B57" w:rsidRDefault="0045584E" w:rsidP="00EC2A6C">
            <w:pPr>
              <w:pStyle w:val="Heading2"/>
              <w:numPr>
                <w:ilvl w:val="0"/>
                <w:numId w:val="0"/>
              </w:numPr>
              <w:rPr>
                <w:rFonts w:ascii="Verdana" w:hAnsi="Verdana"/>
                <w:szCs w:val="22"/>
                <w:lang w:bidi="en-US"/>
              </w:rPr>
            </w:pPr>
            <w:r w:rsidRPr="003B7B57">
              <w:rPr>
                <w:rFonts w:ascii="Verdana" w:hAnsi="Verdana"/>
                <w:szCs w:val="22"/>
                <w:lang w:bidi="en-US"/>
              </w:rPr>
              <w:t>Learning Objective</w:t>
            </w:r>
            <w:r w:rsidR="00342DA0" w:rsidRPr="003B7B57">
              <w:rPr>
                <w:rFonts w:ascii="Verdana" w:hAnsi="Verdana"/>
                <w:szCs w:val="22"/>
                <w:lang w:bidi="en-US"/>
              </w:rPr>
              <w:t>(s)</w:t>
            </w:r>
          </w:p>
        </w:tc>
      </w:tr>
      <w:tr w:rsidR="0045584E" w:rsidRPr="003B7B57" w14:paraId="19D66C91" w14:textId="77777777" w:rsidTr="0071780B">
        <w:tc>
          <w:tcPr>
            <w:tcW w:w="7398" w:type="dxa"/>
          </w:tcPr>
          <w:p w14:paraId="52935CD9" w14:textId="5681C22B" w:rsidR="0045584E" w:rsidRPr="003B7B57" w:rsidRDefault="004B2E37" w:rsidP="003A6ACC">
            <w:pPr>
              <w:rPr>
                <w:rFonts w:ascii="Verdana" w:hAnsi="Verdana"/>
                <w:sz w:val="22"/>
                <w:szCs w:val="22"/>
                <w:lang w:bidi="en-US"/>
              </w:rPr>
            </w:pPr>
            <w:r w:rsidRPr="003B7B57">
              <w:rPr>
                <w:rFonts w:ascii="Verdana" w:hAnsi="Verdana"/>
                <w:color w:val="auto"/>
                <w:sz w:val="22"/>
                <w:szCs w:val="22"/>
                <w:lang w:bidi="en-US"/>
              </w:rPr>
              <w:t xml:space="preserve">Assignment #1. </w:t>
            </w:r>
            <w:r w:rsidR="0045584E" w:rsidRPr="003B7B57">
              <w:rPr>
                <w:rFonts w:ascii="Verdana" w:hAnsi="Verdana"/>
                <w:sz w:val="22"/>
                <w:szCs w:val="22"/>
                <w:lang w:bidi="en-US"/>
              </w:rPr>
              <w:t xml:space="preserve">Students can enter “mechanical lifts for patients” to find websites such as: </w:t>
            </w:r>
          </w:p>
          <w:p w14:paraId="7A5DDC93" w14:textId="77777777" w:rsidR="0045584E" w:rsidRPr="003B7B57" w:rsidRDefault="00000000" w:rsidP="009E2F29">
            <w:pPr>
              <w:pStyle w:val="ListParagraph"/>
              <w:numPr>
                <w:ilvl w:val="0"/>
                <w:numId w:val="9"/>
              </w:numPr>
              <w:rPr>
                <w:rFonts w:ascii="Verdana" w:hAnsi="Verdana"/>
                <w:sz w:val="22"/>
                <w:szCs w:val="22"/>
              </w:rPr>
            </w:pPr>
            <w:hyperlink r:id="rId11" w:tooltip="To know more about the mechanical lifts for patients" w:history="1">
              <w:r w:rsidR="0045584E" w:rsidRPr="003B7B57">
                <w:rPr>
                  <w:rFonts w:ascii="Verdana" w:eastAsia="Calibri" w:hAnsi="Verdana"/>
                  <w:color w:val="0000FF"/>
                  <w:sz w:val="22"/>
                  <w:szCs w:val="22"/>
                  <w:u w:val="single"/>
                </w:rPr>
                <w:t>https://www.spinlife.com/category.cfm?categoryID=108</w:t>
              </w:r>
            </w:hyperlink>
            <w:r w:rsidR="0045584E" w:rsidRPr="003B7B57">
              <w:rPr>
                <w:rFonts w:ascii="Verdana" w:eastAsia="Calibri" w:hAnsi="Verdana"/>
                <w:sz w:val="22"/>
                <w:szCs w:val="22"/>
              </w:rPr>
              <w:t xml:space="preserve"> </w:t>
            </w:r>
          </w:p>
          <w:p w14:paraId="7DE3FB3E" w14:textId="77777777" w:rsidR="0045584E" w:rsidRPr="003B7B57" w:rsidRDefault="00000000" w:rsidP="009E2F29">
            <w:pPr>
              <w:pStyle w:val="ListParagraph"/>
              <w:numPr>
                <w:ilvl w:val="0"/>
                <w:numId w:val="9"/>
              </w:numPr>
              <w:jc w:val="both"/>
              <w:rPr>
                <w:rFonts w:ascii="Verdana" w:hAnsi="Verdana"/>
                <w:sz w:val="22"/>
                <w:szCs w:val="22"/>
              </w:rPr>
            </w:pPr>
            <w:hyperlink r:id="rId12" w:tooltip="To know more about the mechanical lifts for patients" w:history="1">
              <w:r w:rsidR="0045584E" w:rsidRPr="003B7B57">
                <w:rPr>
                  <w:rFonts w:ascii="Verdana" w:eastAsia="Calibri" w:hAnsi="Verdana"/>
                  <w:color w:val="0000FF"/>
                  <w:sz w:val="22"/>
                  <w:szCs w:val="22"/>
                  <w:u w:val="single"/>
                </w:rPr>
                <w:t>https://www.cdc.gov/niosh/docs/2006-117/pdfs/2006-117.pdf</w:t>
              </w:r>
            </w:hyperlink>
            <w:r w:rsidR="0045584E" w:rsidRPr="003B7B57">
              <w:rPr>
                <w:rFonts w:ascii="Verdana" w:eastAsia="Calibri" w:hAnsi="Verdana"/>
                <w:sz w:val="22"/>
                <w:szCs w:val="22"/>
              </w:rPr>
              <w:t xml:space="preserve"> </w:t>
            </w:r>
          </w:p>
          <w:p w14:paraId="305E515E" w14:textId="20FB7C37" w:rsidR="0045584E" w:rsidRPr="003B7B57" w:rsidRDefault="0045584E" w:rsidP="003A6ACC">
            <w:pPr>
              <w:rPr>
                <w:rFonts w:ascii="Verdana" w:hAnsi="Verdana"/>
                <w:sz w:val="22"/>
                <w:szCs w:val="22"/>
                <w:lang w:bidi="en-US"/>
              </w:rPr>
            </w:pPr>
            <w:r w:rsidRPr="003B7B57">
              <w:rPr>
                <w:rFonts w:ascii="Verdana" w:hAnsi="Verdana"/>
                <w:sz w:val="22"/>
                <w:szCs w:val="22"/>
                <w:lang w:bidi="en-US"/>
              </w:rPr>
              <w:t>Students can enter “patient transfer equipment” to find web sites such as:</w:t>
            </w:r>
          </w:p>
          <w:p w14:paraId="2D645413" w14:textId="77777777" w:rsidR="0045584E" w:rsidRPr="003B7B57" w:rsidRDefault="00000000" w:rsidP="009E2F29">
            <w:pPr>
              <w:pStyle w:val="ListParagraph"/>
              <w:numPr>
                <w:ilvl w:val="0"/>
                <w:numId w:val="10"/>
              </w:numPr>
              <w:rPr>
                <w:rFonts w:ascii="Verdana" w:hAnsi="Verdana"/>
                <w:sz w:val="22"/>
                <w:szCs w:val="22"/>
              </w:rPr>
            </w:pPr>
            <w:hyperlink r:id="rId13" w:tooltip="To know more about the patient transfer equipment" w:history="1">
              <w:r w:rsidR="0045584E" w:rsidRPr="003B7B57">
                <w:rPr>
                  <w:rFonts w:ascii="Verdana" w:eastAsia="Calibri" w:hAnsi="Verdana"/>
                  <w:color w:val="0000FF"/>
                  <w:sz w:val="22"/>
                  <w:szCs w:val="22"/>
                  <w:u w:val="single"/>
                </w:rPr>
                <w:t>https://www.universalmedicalinc.com/all-products/patient-transfer.html</w:t>
              </w:r>
            </w:hyperlink>
            <w:r w:rsidR="0045584E" w:rsidRPr="003B7B57">
              <w:rPr>
                <w:rFonts w:ascii="Verdana" w:eastAsia="Calibri" w:hAnsi="Verdana"/>
                <w:sz w:val="22"/>
                <w:szCs w:val="22"/>
              </w:rPr>
              <w:t xml:space="preserve"> </w:t>
            </w:r>
          </w:p>
          <w:p w14:paraId="7CFA16F8" w14:textId="77777777" w:rsidR="0045584E" w:rsidRPr="003B7B57" w:rsidRDefault="00000000" w:rsidP="009E2F29">
            <w:pPr>
              <w:pStyle w:val="ListParagraph"/>
              <w:numPr>
                <w:ilvl w:val="0"/>
                <w:numId w:val="10"/>
              </w:numPr>
              <w:rPr>
                <w:rFonts w:ascii="Verdana" w:hAnsi="Verdana"/>
                <w:sz w:val="22"/>
                <w:szCs w:val="22"/>
              </w:rPr>
            </w:pPr>
            <w:hyperlink r:id="rId14" w:tooltip="To know more about the patient transfer equipment" w:history="1">
              <w:r w:rsidR="0045584E" w:rsidRPr="003B7B57">
                <w:rPr>
                  <w:rFonts w:ascii="Verdana" w:eastAsia="Calibri" w:hAnsi="Verdana"/>
                  <w:color w:val="0000FF"/>
                  <w:sz w:val="22"/>
                  <w:szCs w:val="22"/>
                  <w:u w:val="single"/>
                </w:rPr>
                <w:t>https://www.medline.com/category/Transfer-Equipment/cat1460044</w:t>
              </w:r>
            </w:hyperlink>
            <w:r w:rsidR="0045584E" w:rsidRPr="003B7B57">
              <w:rPr>
                <w:rFonts w:ascii="Verdana" w:eastAsia="Calibri" w:hAnsi="Verdana"/>
                <w:sz w:val="22"/>
                <w:szCs w:val="22"/>
              </w:rPr>
              <w:t xml:space="preserve"> </w:t>
            </w:r>
          </w:p>
        </w:tc>
        <w:tc>
          <w:tcPr>
            <w:tcW w:w="2178" w:type="dxa"/>
          </w:tcPr>
          <w:p w14:paraId="21501F88" w14:textId="11701D77" w:rsidR="0045584E" w:rsidRPr="003B7B57" w:rsidRDefault="0045584E" w:rsidP="003A6ACC">
            <w:pPr>
              <w:rPr>
                <w:rFonts w:ascii="Verdana" w:hAnsi="Verdana"/>
                <w:sz w:val="22"/>
                <w:szCs w:val="22"/>
                <w:lang w:bidi="en-US"/>
              </w:rPr>
            </w:pPr>
            <w:r w:rsidRPr="003B7B57">
              <w:rPr>
                <w:rFonts w:ascii="Verdana" w:hAnsi="Verdana"/>
                <w:sz w:val="22"/>
                <w:szCs w:val="22"/>
                <w:lang w:bidi="en-US"/>
              </w:rPr>
              <w:t>4</w:t>
            </w:r>
            <w:r w:rsidR="00155618" w:rsidRPr="003B7B57">
              <w:rPr>
                <w:rFonts w:ascii="Verdana" w:hAnsi="Verdana"/>
                <w:sz w:val="22"/>
                <w:szCs w:val="22"/>
                <w:lang w:bidi="en-US"/>
              </w:rPr>
              <w:t>,</w:t>
            </w:r>
            <w:r w:rsidR="00342DA0" w:rsidRPr="003B7B57">
              <w:rPr>
                <w:rFonts w:ascii="Verdana" w:hAnsi="Verdana"/>
                <w:sz w:val="22"/>
                <w:szCs w:val="22"/>
                <w:lang w:bidi="en-US"/>
              </w:rPr>
              <w:t xml:space="preserve"> </w:t>
            </w:r>
            <w:r w:rsidR="00155618" w:rsidRPr="003B7B57">
              <w:rPr>
                <w:rFonts w:ascii="Verdana" w:hAnsi="Verdana"/>
                <w:sz w:val="22"/>
                <w:szCs w:val="22"/>
                <w:lang w:bidi="en-US"/>
              </w:rPr>
              <w:t>5</w:t>
            </w:r>
          </w:p>
        </w:tc>
      </w:tr>
    </w:tbl>
    <w:p w14:paraId="520FA714" w14:textId="6AD91402" w:rsidR="0045584E" w:rsidRPr="003B7B57" w:rsidRDefault="0045584E" w:rsidP="0045584E">
      <w:pPr>
        <w:spacing w:line="240" w:lineRule="auto"/>
        <w:rPr>
          <w:rFonts w:ascii="Verdana" w:eastAsia="Calibri" w:hAnsi="Verdana" w:cs="Times New Roman"/>
          <w:color w:val="auto"/>
          <w:sz w:val="22"/>
          <w:lang w:bidi="en-US"/>
        </w:rPr>
      </w:pPr>
    </w:p>
    <w:p w14:paraId="3D899125" w14:textId="77777777" w:rsidR="0045584E" w:rsidRPr="003B7B57" w:rsidRDefault="0045584E" w:rsidP="0045584E">
      <w:pPr>
        <w:spacing w:line="240" w:lineRule="auto"/>
        <w:rPr>
          <w:rFonts w:ascii="Verdana" w:eastAsia="Calibri" w:hAnsi="Verdana" w:cs="Times New Roman"/>
          <w:color w:val="auto"/>
          <w:sz w:val="22"/>
          <w:lang w:bidi="en-US"/>
        </w:rPr>
      </w:pPr>
    </w:p>
    <w:p w14:paraId="06C17A35" w14:textId="6191FAFA" w:rsidR="001E2049" w:rsidRPr="003B7B57" w:rsidRDefault="001E2049" w:rsidP="0045584E">
      <w:pPr>
        <w:keepNext/>
        <w:spacing w:before="240" w:after="60" w:line="240" w:lineRule="auto"/>
        <w:outlineLvl w:val="0"/>
        <w:rPr>
          <w:rFonts w:ascii="Verdana" w:hAnsi="Verdana"/>
          <w:sz w:val="22"/>
          <w:lang w:eastAsia="de-DE"/>
        </w:rPr>
      </w:pPr>
    </w:p>
    <w:sectPr w:rsidR="001E2049" w:rsidRPr="003B7B57" w:rsidSect="00954377">
      <w:headerReference w:type="default" r:id="rId15"/>
      <w:footerReference w:type="default" r:id="rId16"/>
      <w:footerReference w:type="first" r:id="rId17"/>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9F11C" w14:textId="77777777" w:rsidR="000237B7" w:rsidRDefault="000237B7" w:rsidP="00291CA2">
      <w:pPr>
        <w:spacing w:line="240" w:lineRule="auto"/>
      </w:pPr>
      <w:r>
        <w:separator/>
      </w:r>
    </w:p>
  </w:endnote>
  <w:endnote w:type="continuationSeparator" w:id="0">
    <w:p w14:paraId="26E6E737" w14:textId="77777777" w:rsidR="000237B7" w:rsidRDefault="000237B7"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A9AB93B" w14:textId="77777777" w:rsidTr="001E2049">
      <w:tc>
        <w:tcPr>
          <w:tcW w:w="9746" w:type="dxa"/>
          <w:vAlign w:val="bottom"/>
        </w:tcPr>
        <w:p w14:paraId="410DF52B" w14:textId="77777777" w:rsidR="007172A0" w:rsidRDefault="007172A0" w:rsidP="007172A0">
          <w:pPr>
            <w:pStyle w:val="Footer"/>
          </w:pPr>
        </w:p>
      </w:tc>
      <w:tc>
        <w:tcPr>
          <w:tcW w:w="709" w:type="dxa"/>
        </w:tcPr>
        <w:p w14:paraId="4F83492A" w14:textId="77777777" w:rsidR="007172A0" w:rsidRDefault="007172A0" w:rsidP="007172A0">
          <w:pPr>
            <w:pStyle w:val="Footer"/>
          </w:pPr>
          <w:r>
            <w:fldChar w:fldCharType="begin"/>
          </w:r>
          <w:r>
            <w:instrText xml:space="preserve"> PAGE  \* Arabic  \* MERGEFORMAT </w:instrText>
          </w:r>
          <w:r>
            <w:fldChar w:fldCharType="separate"/>
          </w:r>
          <w:r w:rsidR="003B7B57">
            <w:rPr>
              <w:noProof/>
            </w:rPr>
            <w:t>2</w:t>
          </w:r>
          <w:r>
            <w:fldChar w:fldCharType="end"/>
          </w:r>
        </w:p>
      </w:tc>
    </w:tr>
  </w:tbl>
  <w:p w14:paraId="1CC0F8A2"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5F0D"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6BD3294E" wp14:editId="289DCC76">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A5220" w14:textId="77777777" w:rsidR="000237B7" w:rsidRDefault="000237B7" w:rsidP="00291CA2">
      <w:pPr>
        <w:spacing w:line="240" w:lineRule="auto"/>
      </w:pPr>
      <w:r>
        <w:separator/>
      </w:r>
    </w:p>
  </w:footnote>
  <w:footnote w:type="continuationSeparator" w:id="0">
    <w:p w14:paraId="6A19C3FD" w14:textId="77777777" w:rsidR="000237B7" w:rsidRDefault="000237B7"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801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387E93E3" wp14:editId="5B42B16F">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rPr>
    </w:lvl>
  </w:abstractNum>
  <w:abstractNum w:abstractNumId="4"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172224"/>
    <w:multiLevelType w:val="hybridMultilevel"/>
    <w:tmpl w:val="09520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C730A1"/>
    <w:multiLevelType w:val="hybridMultilevel"/>
    <w:tmpl w:val="B7DE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530049"/>
    <w:multiLevelType w:val="hybridMultilevel"/>
    <w:tmpl w:val="2CFC0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7152DEE"/>
    <w:multiLevelType w:val="hybridMultilevel"/>
    <w:tmpl w:val="E9F0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007A6D"/>
    <w:multiLevelType w:val="multilevel"/>
    <w:tmpl w:val="B4C2E896"/>
    <w:numStyleLink w:val="Bulletlist"/>
  </w:abstractNum>
  <w:abstractNum w:abstractNumId="11" w15:restartNumberingAfterBreak="0">
    <w:nsid w:val="64F4343F"/>
    <w:multiLevelType w:val="multilevel"/>
    <w:tmpl w:val="44280DF8"/>
    <w:numStyleLink w:val="Headinglist"/>
  </w:abstractNum>
  <w:abstractNum w:abstractNumId="12" w15:restartNumberingAfterBreak="0">
    <w:nsid w:val="77AD707E"/>
    <w:multiLevelType w:val="hybridMultilevel"/>
    <w:tmpl w:val="ACB88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A31F3B"/>
    <w:multiLevelType w:val="hybridMultilevel"/>
    <w:tmpl w:val="83688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3099978">
    <w:abstractNumId w:val="4"/>
  </w:num>
  <w:num w:numId="2" w16cid:durableId="1044018458">
    <w:abstractNumId w:val="8"/>
  </w:num>
  <w:num w:numId="3" w16cid:durableId="1890461023">
    <w:abstractNumId w:val="10"/>
  </w:num>
  <w:num w:numId="4" w16cid:durableId="1032070829">
    <w:abstractNumId w:val="11"/>
  </w:num>
  <w:num w:numId="5" w16cid:durableId="1178498101">
    <w:abstractNumId w:val="13"/>
  </w:num>
  <w:num w:numId="6" w16cid:durableId="1064794870">
    <w:abstractNumId w:val="5"/>
  </w:num>
  <w:num w:numId="7" w16cid:durableId="270166675">
    <w:abstractNumId w:val="12"/>
  </w:num>
  <w:num w:numId="8" w16cid:durableId="558130839">
    <w:abstractNumId w:val="7"/>
  </w:num>
  <w:num w:numId="9" w16cid:durableId="896744569">
    <w:abstractNumId w:val="6"/>
  </w:num>
  <w:num w:numId="10" w16cid:durableId="1098334732">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715"/>
    <w:rsid w:val="000225A6"/>
    <w:rsid w:val="0002297F"/>
    <w:rsid w:val="000237B7"/>
    <w:rsid w:val="0003366F"/>
    <w:rsid w:val="000406B1"/>
    <w:rsid w:val="00043C8A"/>
    <w:rsid w:val="00081DAB"/>
    <w:rsid w:val="00081F77"/>
    <w:rsid w:val="00083449"/>
    <w:rsid w:val="000A006E"/>
    <w:rsid w:val="00141660"/>
    <w:rsid w:val="00145E2E"/>
    <w:rsid w:val="001555F5"/>
    <w:rsid w:val="00155618"/>
    <w:rsid w:val="001871AA"/>
    <w:rsid w:val="001B183D"/>
    <w:rsid w:val="001D07AE"/>
    <w:rsid w:val="001E2049"/>
    <w:rsid w:val="001E6D47"/>
    <w:rsid w:val="001F0D8F"/>
    <w:rsid w:val="00215E24"/>
    <w:rsid w:val="00250B53"/>
    <w:rsid w:val="00267115"/>
    <w:rsid w:val="00291B64"/>
    <w:rsid w:val="00291CA2"/>
    <w:rsid w:val="002B02DB"/>
    <w:rsid w:val="002B4D70"/>
    <w:rsid w:val="002C09FD"/>
    <w:rsid w:val="002D1245"/>
    <w:rsid w:val="002E2AD0"/>
    <w:rsid w:val="00304F27"/>
    <w:rsid w:val="00313D93"/>
    <w:rsid w:val="00342DA0"/>
    <w:rsid w:val="003639B1"/>
    <w:rsid w:val="00383C5A"/>
    <w:rsid w:val="00395470"/>
    <w:rsid w:val="003A6ACC"/>
    <w:rsid w:val="003B7B57"/>
    <w:rsid w:val="003C2ED5"/>
    <w:rsid w:val="00407BB1"/>
    <w:rsid w:val="00407F47"/>
    <w:rsid w:val="004165BF"/>
    <w:rsid w:val="004214D4"/>
    <w:rsid w:val="004377B9"/>
    <w:rsid w:val="00440958"/>
    <w:rsid w:val="0045584E"/>
    <w:rsid w:val="004B2E37"/>
    <w:rsid w:val="004D34AE"/>
    <w:rsid w:val="004E3766"/>
    <w:rsid w:val="004F1C47"/>
    <w:rsid w:val="00540939"/>
    <w:rsid w:val="0056008D"/>
    <w:rsid w:val="005613E5"/>
    <w:rsid w:val="005C064B"/>
    <w:rsid w:val="005C5E2D"/>
    <w:rsid w:val="005D52ED"/>
    <w:rsid w:val="005E7BC2"/>
    <w:rsid w:val="00613D2D"/>
    <w:rsid w:val="00651F7D"/>
    <w:rsid w:val="00671D76"/>
    <w:rsid w:val="00673354"/>
    <w:rsid w:val="00684742"/>
    <w:rsid w:val="006C339D"/>
    <w:rsid w:val="006D7A15"/>
    <w:rsid w:val="006E58BE"/>
    <w:rsid w:val="006F4150"/>
    <w:rsid w:val="007172A0"/>
    <w:rsid w:val="00741331"/>
    <w:rsid w:val="0075497B"/>
    <w:rsid w:val="007641FB"/>
    <w:rsid w:val="00764747"/>
    <w:rsid w:val="00770912"/>
    <w:rsid w:val="007776E2"/>
    <w:rsid w:val="00795A0B"/>
    <w:rsid w:val="007B5109"/>
    <w:rsid w:val="007E1EC2"/>
    <w:rsid w:val="00802715"/>
    <w:rsid w:val="0080300F"/>
    <w:rsid w:val="00816977"/>
    <w:rsid w:val="00822A97"/>
    <w:rsid w:val="008569C4"/>
    <w:rsid w:val="008703C2"/>
    <w:rsid w:val="008933D3"/>
    <w:rsid w:val="008A11B8"/>
    <w:rsid w:val="008B3D87"/>
    <w:rsid w:val="008F4222"/>
    <w:rsid w:val="009008B6"/>
    <w:rsid w:val="009102B7"/>
    <w:rsid w:val="00940F2F"/>
    <w:rsid w:val="00954377"/>
    <w:rsid w:val="0098330B"/>
    <w:rsid w:val="0099702B"/>
    <w:rsid w:val="009A09A8"/>
    <w:rsid w:val="009B6106"/>
    <w:rsid w:val="009E2F29"/>
    <w:rsid w:val="00A06AF8"/>
    <w:rsid w:val="00A07639"/>
    <w:rsid w:val="00A73169"/>
    <w:rsid w:val="00A93E18"/>
    <w:rsid w:val="00AA17FC"/>
    <w:rsid w:val="00AB3D6E"/>
    <w:rsid w:val="00AE5C40"/>
    <w:rsid w:val="00AE7FA9"/>
    <w:rsid w:val="00AF0936"/>
    <w:rsid w:val="00AF2AE3"/>
    <w:rsid w:val="00AF6645"/>
    <w:rsid w:val="00B1166B"/>
    <w:rsid w:val="00B12219"/>
    <w:rsid w:val="00B20D41"/>
    <w:rsid w:val="00B44E39"/>
    <w:rsid w:val="00B62074"/>
    <w:rsid w:val="00B664A6"/>
    <w:rsid w:val="00B85C4B"/>
    <w:rsid w:val="00B94051"/>
    <w:rsid w:val="00B9529F"/>
    <w:rsid w:val="00BB4EA8"/>
    <w:rsid w:val="00BC4B10"/>
    <w:rsid w:val="00BE63BA"/>
    <w:rsid w:val="00C07757"/>
    <w:rsid w:val="00C46EB6"/>
    <w:rsid w:val="00C4765D"/>
    <w:rsid w:val="00C83B34"/>
    <w:rsid w:val="00C83C60"/>
    <w:rsid w:val="00C93795"/>
    <w:rsid w:val="00CD20ED"/>
    <w:rsid w:val="00CD79C5"/>
    <w:rsid w:val="00CE18DB"/>
    <w:rsid w:val="00D27242"/>
    <w:rsid w:val="00D40F66"/>
    <w:rsid w:val="00D44046"/>
    <w:rsid w:val="00D527C5"/>
    <w:rsid w:val="00D64A9B"/>
    <w:rsid w:val="00DC2093"/>
    <w:rsid w:val="00DD6D04"/>
    <w:rsid w:val="00E058D2"/>
    <w:rsid w:val="00E100A8"/>
    <w:rsid w:val="00E31E10"/>
    <w:rsid w:val="00E679CE"/>
    <w:rsid w:val="00E70C89"/>
    <w:rsid w:val="00EB546E"/>
    <w:rsid w:val="00EC039D"/>
    <w:rsid w:val="00EC2A6C"/>
    <w:rsid w:val="00F704D9"/>
    <w:rsid w:val="00F900A7"/>
    <w:rsid w:val="00F958A8"/>
    <w:rsid w:val="00FA4FFA"/>
    <w:rsid w:val="00FA6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3A7CF"/>
  <w15:docId w15:val="{E36A2F11-807B-4DC4-893E-BD9CE2E3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9"/>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5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styleId="LightList">
    <w:name w:val="Light List"/>
    <w:basedOn w:val="TableNormal"/>
    <w:uiPriority w:val="61"/>
    <w:rsid w:val="00802715"/>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39"/>
    <w:rsid w:val="00C46EB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529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83449"/>
    <w:pPr>
      <w:suppressAutoHyphens/>
      <w:spacing w:line="240" w:lineRule="auto"/>
      <w:ind w:left="720"/>
    </w:pPr>
    <w:rPr>
      <w:rFonts w:ascii="Times New Roman" w:eastAsia="Times New Roman" w:hAnsi="Times New Roman" w:cs="Times New Roman"/>
      <w:color w:val="auto"/>
      <w:sz w:val="24"/>
      <w:szCs w:val="24"/>
      <w:lang w:bidi="en-US"/>
    </w:rPr>
  </w:style>
  <w:style w:type="table" w:customStyle="1" w:styleId="TableGrid3">
    <w:name w:val="Table Grid3"/>
    <w:basedOn w:val="TableNormal"/>
    <w:next w:val="TableGrid"/>
    <w:uiPriority w:val="59"/>
    <w:rsid w:val="005E7B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45584E"/>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155618"/>
    <w:rPr>
      <w:sz w:val="16"/>
      <w:szCs w:val="16"/>
    </w:rPr>
  </w:style>
  <w:style w:type="paragraph" w:styleId="CommentText">
    <w:name w:val="annotation text"/>
    <w:basedOn w:val="Normal"/>
    <w:link w:val="CommentTextChar"/>
    <w:uiPriority w:val="99"/>
    <w:unhideWhenUsed/>
    <w:rsid w:val="00155618"/>
    <w:pPr>
      <w:spacing w:line="240" w:lineRule="auto"/>
    </w:pPr>
    <w:rPr>
      <w:sz w:val="20"/>
      <w:szCs w:val="20"/>
    </w:rPr>
  </w:style>
  <w:style w:type="character" w:customStyle="1" w:styleId="CommentTextChar">
    <w:name w:val="Comment Text Char"/>
    <w:basedOn w:val="DefaultParagraphFont"/>
    <w:link w:val="CommentText"/>
    <w:uiPriority w:val="99"/>
    <w:rsid w:val="00155618"/>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155618"/>
    <w:rPr>
      <w:b/>
      <w:bCs/>
    </w:rPr>
  </w:style>
  <w:style w:type="character" w:customStyle="1" w:styleId="CommentSubjectChar">
    <w:name w:val="Comment Subject Char"/>
    <w:basedOn w:val="CommentTextChar"/>
    <w:link w:val="CommentSubject"/>
    <w:uiPriority w:val="99"/>
    <w:semiHidden/>
    <w:rsid w:val="00155618"/>
    <w:rPr>
      <w:b/>
      <w:bCs/>
      <w:color w:val="000000" w:themeColor="text1"/>
      <w:sz w:val="20"/>
      <w:szCs w:val="20"/>
      <w:lang w:val="en-US"/>
    </w:rPr>
  </w:style>
  <w:style w:type="paragraph" w:styleId="BalloonText">
    <w:name w:val="Balloon Text"/>
    <w:basedOn w:val="Normal"/>
    <w:link w:val="BalloonTextChar"/>
    <w:uiPriority w:val="99"/>
    <w:semiHidden/>
    <w:unhideWhenUsed/>
    <w:rsid w:val="00155618"/>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55618"/>
    <w:rPr>
      <w:rFonts w:ascii="Segoe UI" w:hAnsi="Segoe UI" w:cs="Segoe UI"/>
      <w:color w:val="000000" w:themeColor="text1"/>
      <w:sz w:val="18"/>
      <w:szCs w:val="18"/>
      <w:lang w:val="en-US"/>
    </w:rPr>
  </w:style>
  <w:style w:type="paragraph" w:styleId="Revision">
    <w:name w:val="Revision"/>
    <w:hidden/>
    <w:uiPriority w:val="99"/>
    <w:semiHidden/>
    <w:rsid w:val="00C83C60"/>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versalmedicalinc.com/all-products/patient-transfer.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dc.gov/niosh/docs/2006-117/pdfs/2006-117.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inlife.com/category.cfm?categoryID=108"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edline.com/category/Transfer-Equipment/cat1460044"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nswers_to_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0BEE4EA9-9480-4CA9-A06A-A5563BF31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15</TotalTime>
  <Pages>3</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Assignments, Chapter 15, Positioning, Lifting, and Transferring Patients and Residents</dc:title>
  <dc:subject/>
  <dc:creator>Innovative</dc:creator>
  <cp:keywords/>
  <dc:description/>
  <cp:lastModifiedBy>Devaraj N</cp:lastModifiedBy>
  <cp:revision>11</cp:revision>
  <dcterms:created xsi:type="dcterms:W3CDTF">2023-01-11T14:51:00Z</dcterms:created>
  <dcterms:modified xsi:type="dcterms:W3CDTF">2023-04-04T08:08:00Z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ab6e3fdde2240d75822c2b1759273cafb5a990a7b5fa9c49a01101c6f6f0fcb6</vt:lpwstr>
  </property>
</Properties>
</file>