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CB24C" w14:textId="77777777" w:rsidR="00AE7FA9" w:rsidRPr="00BC5FFC" w:rsidRDefault="00AE7FA9" w:rsidP="007172A0">
      <w:pPr>
        <w:rPr>
          <w:rFonts w:ascii="Verdana" w:hAnsi="Verdana"/>
          <w:sz w:val="22"/>
        </w:rPr>
      </w:pPr>
      <w:r w:rsidRPr="00BC5FFC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72E5C685" wp14:editId="584E001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0663487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74E9EE3" w14:textId="338167BA" w:rsidR="00FD4238" w:rsidRPr="00DA5F06" w:rsidRDefault="00FD4238" w:rsidP="00BC5FFC">
      <w:pPr>
        <w:pStyle w:val="Heading1withoutnumbering"/>
        <w:rPr>
          <w:rFonts w:ascii="Cambria" w:hAnsi="Cambria"/>
          <w:b/>
          <w:bCs/>
          <w:sz w:val="32"/>
          <w:szCs w:val="32"/>
          <w:lang w:val="en-IN"/>
        </w:rPr>
      </w:pPr>
      <w:r w:rsidRPr="00DA5F06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Suggested Answers to Assignments</w:t>
      </w:r>
      <w:r w:rsidR="00BC5FFC" w:rsidRPr="00DA5F06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 xml:space="preserve">, </w:t>
      </w:r>
      <w:r w:rsidRPr="00DA5F06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Chapter 5, Communication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0"/>
        <w:gridCol w:w="1998"/>
      </w:tblGrid>
      <w:tr w:rsidR="00FD4238" w:rsidRPr="00BC5FFC" w14:paraId="5764674F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21BD7" w14:textId="77777777" w:rsidR="00FD4238" w:rsidRPr="00BC5FFC" w:rsidRDefault="00FD4238" w:rsidP="00FD4238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color w:val="auto"/>
                <w:szCs w:val="22"/>
                <w:lang w:val="en-IN"/>
              </w:rPr>
            </w:pPr>
            <w:r w:rsidRPr="00BC5FFC">
              <w:rPr>
                <w:rFonts w:ascii="Verdana" w:eastAsia="Calibri" w:hAnsi="Verdana"/>
                <w:szCs w:val="22"/>
              </w:rPr>
              <w:t>Written Assignments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2FBD9" w14:textId="3BF87712" w:rsidR="00FD4238" w:rsidRPr="00BC5FFC" w:rsidRDefault="00FD4238" w:rsidP="00FD4238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t>Learning Objective</w:t>
            </w:r>
            <w:r w:rsidR="003D0B77" w:rsidRPr="00BC5FFC">
              <w:rPr>
                <w:rFonts w:ascii="Verdana" w:eastAsia="Calibri" w:hAnsi="Verdana"/>
                <w:szCs w:val="22"/>
              </w:rPr>
              <w:t>(</w:t>
            </w:r>
            <w:r w:rsidRPr="00BC5FFC">
              <w:rPr>
                <w:rFonts w:ascii="Verdana" w:eastAsia="Calibri" w:hAnsi="Verdana"/>
                <w:szCs w:val="22"/>
              </w:rPr>
              <w:t>s</w:t>
            </w:r>
            <w:r w:rsidR="003D0B77" w:rsidRPr="00BC5FFC">
              <w:rPr>
                <w:rFonts w:ascii="Verdana" w:eastAsia="Calibri" w:hAnsi="Verdana"/>
                <w:szCs w:val="22"/>
              </w:rPr>
              <w:t>)</w:t>
            </w:r>
          </w:p>
        </w:tc>
      </w:tr>
      <w:tr w:rsidR="00FD4238" w:rsidRPr="00BC5FFC" w14:paraId="55F5F824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DC135F" w14:textId="77777777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i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. Students will complete Chapter 5 of </w:t>
            </w:r>
            <w:r w:rsidRPr="00BC5FFC">
              <w:rPr>
                <w:rFonts w:ascii="Verdana" w:eastAsia="Calibri" w:hAnsi="Verdana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FFCE7" w14:textId="77777777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1–11</w:t>
            </w:r>
          </w:p>
        </w:tc>
      </w:tr>
      <w:tr w:rsidR="00FD4238" w:rsidRPr="00BC5FFC" w14:paraId="3F7B8159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D6F31" w14:textId="77777777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 Students’ responses should include:</w:t>
            </w:r>
          </w:p>
          <w:p w14:paraId="47DF9D24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Reporting is the spoken exchange of information between health care team members.</w:t>
            </w:r>
          </w:p>
          <w:p w14:paraId="689C4EF5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Reporting is used throughout a shift to communicate changes about a patient’s or resident’s status to other health care members.</w:t>
            </w:r>
          </w:p>
          <w:p w14:paraId="4F8E07E3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Observations about a change in a patient’s or resident’s condition must be reported to the nurse immediately.</w:t>
            </w:r>
          </w:p>
          <w:p w14:paraId="16D1651C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Recording is the written exchange of information between members of the health care team.</w:t>
            </w:r>
          </w:p>
          <w:p w14:paraId="7A20AE3F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Recording is done in the person’s medical record.</w:t>
            </w:r>
          </w:p>
          <w:p w14:paraId="52C9A73D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Recording must be accurate.</w:t>
            </w:r>
          </w:p>
          <w:p w14:paraId="1D21AED9" w14:textId="77777777" w:rsidR="00FD4238" w:rsidRPr="00BC5FFC" w:rsidRDefault="00FD4238" w:rsidP="00FD4238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 medical record is a legal document that can be used in a court of law.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3D6C96" w14:textId="26992E5A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8</w:t>
            </w:r>
          </w:p>
        </w:tc>
      </w:tr>
    </w:tbl>
    <w:p w14:paraId="001DF86C" w14:textId="77777777" w:rsidR="00FD4238" w:rsidRPr="00BC5FFC" w:rsidRDefault="00FD4238" w:rsidP="00FD4238">
      <w:pPr>
        <w:rPr>
          <w:rFonts w:ascii="Verdana" w:eastAsia="Calibri" w:hAnsi="Verdana"/>
          <w:sz w:val="22"/>
        </w:rPr>
      </w:pPr>
      <w:r w:rsidRPr="00BC5FFC">
        <w:rPr>
          <w:rFonts w:ascii="Verdana" w:eastAsia="Calibri" w:hAnsi="Verdana"/>
          <w:sz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0"/>
        <w:gridCol w:w="1998"/>
      </w:tblGrid>
      <w:tr w:rsidR="00FD4238" w:rsidRPr="00BC5FFC" w14:paraId="2ABF23AA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FE67B" w14:textId="77777777" w:rsidR="00FD4238" w:rsidRPr="00BC5FFC" w:rsidRDefault="00FD4238" w:rsidP="00FD4238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lastRenderedPageBreak/>
              <w:t>Group Assignments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C9CCB5" w14:textId="77777777" w:rsidR="00FD4238" w:rsidRPr="00BC5FFC" w:rsidRDefault="00FD4238" w:rsidP="00FD4238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t>Learning Objective(s)</w:t>
            </w:r>
          </w:p>
        </w:tc>
      </w:tr>
      <w:tr w:rsidR="00FD4238" w:rsidRPr="00BC5FFC" w14:paraId="47021E40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7E9A2" w14:textId="77777777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>. Students’ responses to this assignment should include:</w:t>
            </w:r>
          </w:p>
          <w:p w14:paraId="6D5A9A28" w14:textId="77777777" w:rsidR="00FD4238" w:rsidRPr="00BC5FFC" w:rsidRDefault="00FD4238" w:rsidP="00FD4238">
            <w:pPr>
              <w:pStyle w:val="Heading3"/>
              <w:numPr>
                <w:ilvl w:val="0"/>
                <w:numId w:val="23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Recognition that it is nonverbal communication.</w:t>
            </w:r>
          </w:p>
          <w:p w14:paraId="47D8D41D" w14:textId="5D93FA2D" w:rsidR="00FD4238" w:rsidRPr="00BC5FFC" w:rsidRDefault="00FD4238" w:rsidP="00FD4238">
            <w:pPr>
              <w:pStyle w:val="Heading3"/>
              <w:numPr>
                <w:ilvl w:val="0"/>
                <w:numId w:val="23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 xml:space="preserve">Recognition that through observation and awareness of others’ nonverbal clues, </w:t>
            </w:r>
            <w:r w:rsidR="003D0B77"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 xml:space="preserve">the nursing assistant </w:t>
            </w: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can have a better understanding of others.</w:t>
            </w:r>
          </w:p>
          <w:p w14:paraId="644E365F" w14:textId="1CA521EC" w:rsidR="00FD4238" w:rsidRPr="00BC5FFC" w:rsidRDefault="00FD4238" w:rsidP="00FD4238">
            <w:pPr>
              <w:pStyle w:val="Heading3"/>
              <w:numPr>
                <w:ilvl w:val="0"/>
                <w:numId w:val="23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Nonverbal communication is perhaps the most reliable method of “reading” another person.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8D28C" w14:textId="10F17521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2, 3</w:t>
            </w:r>
          </w:p>
        </w:tc>
      </w:tr>
      <w:tr w:rsidR="00FD4238" w:rsidRPr="00BC5FFC" w14:paraId="579E0E51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F4B7A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 Students’ observations should include:</w:t>
            </w:r>
          </w:p>
          <w:p w14:paraId="780F5312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Tone of voice</w:t>
            </w:r>
          </w:p>
          <w:p w14:paraId="7EF2CBE0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Appropriate telephone techniques</w:t>
            </w:r>
          </w:p>
          <w:p w14:paraId="438457C5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Active listening</w:t>
            </w:r>
          </w:p>
          <w:p w14:paraId="47280319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Clear messages</w:t>
            </w:r>
          </w:p>
          <w:p w14:paraId="650BAA73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Giving and receiving feedback</w:t>
            </w:r>
          </w:p>
          <w:p w14:paraId="0B96EBDA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Being judgmental</w:t>
            </w:r>
          </w:p>
          <w:p w14:paraId="37E2B727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Making assumptions</w:t>
            </w:r>
          </w:p>
          <w:p w14:paraId="0F992C69" w14:textId="77777777" w:rsidR="00FD4238" w:rsidRPr="00BC5FFC" w:rsidRDefault="00FD4238" w:rsidP="00EA484D">
            <w:pPr>
              <w:pStyle w:val="Heading3"/>
              <w:numPr>
                <w:ilvl w:val="0"/>
                <w:numId w:val="24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Use of techniques that encourage the person to talk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497870" w14:textId="1A27323B" w:rsidR="00FD4238" w:rsidRPr="00BC5FFC" w:rsidRDefault="00FD4238" w:rsidP="00FD4238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3, 4, 6 </w:t>
            </w:r>
          </w:p>
        </w:tc>
      </w:tr>
      <w:tr w:rsidR="00FD4238" w:rsidRPr="00BC5FFC" w14:paraId="1E4FE385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82B04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#3.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 Example information could be:</w:t>
            </w:r>
          </w:p>
          <w:p w14:paraId="19B73762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had an emesis of 120 mL after lunch. (Objective)</w:t>
            </w:r>
          </w:p>
          <w:p w14:paraId="24D478E7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had an elevated temperature before bedtime. (Objective)</w:t>
            </w:r>
          </w:p>
          <w:p w14:paraId="062F08A5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said she did not sleep well last night. (Subjective)</w:t>
            </w:r>
          </w:p>
          <w:p w14:paraId="556B436F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refused to eat her breakfast. (Objective)</w:t>
            </w:r>
          </w:p>
          <w:p w14:paraId="0F06DA96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had two episodes of diarrhea after lunch. (Objective)</w:t>
            </w:r>
          </w:p>
          <w:p w14:paraId="14FC5721" w14:textId="77777777" w:rsidR="00FD4238" w:rsidRPr="00BC5FFC" w:rsidRDefault="00FD4238" w:rsidP="00EA484D">
            <w:pPr>
              <w:pStyle w:val="Heading3"/>
              <w:numPr>
                <w:ilvl w:val="0"/>
                <w:numId w:val="25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Mary complains of nausea before lunch. (Subjective)</w:t>
            </w:r>
          </w:p>
          <w:p w14:paraId="2FA74E07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Students should place these in the following order: 3, 4, 6, 1, 5, 2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92F7F" w14:textId="77777777" w:rsidR="00FD4238" w:rsidRPr="00BC5FFC" w:rsidRDefault="00FD4238" w:rsidP="001F7379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7,8</w:t>
            </w:r>
          </w:p>
        </w:tc>
      </w:tr>
    </w:tbl>
    <w:p w14:paraId="79D82A9F" w14:textId="77777777" w:rsidR="00FD4238" w:rsidRPr="00BC5FFC" w:rsidRDefault="00FD4238" w:rsidP="00FD4238">
      <w:pPr>
        <w:rPr>
          <w:rFonts w:ascii="Verdana" w:eastAsia="Calibri" w:hAnsi="Verdana"/>
          <w:sz w:val="22"/>
        </w:rPr>
      </w:pPr>
      <w:r w:rsidRPr="00BC5FFC">
        <w:rPr>
          <w:rFonts w:ascii="Verdana" w:eastAsia="Calibri" w:hAnsi="Verdana"/>
          <w:sz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0"/>
        <w:gridCol w:w="1998"/>
      </w:tblGrid>
      <w:tr w:rsidR="00FD4238" w:rsidRPr="00BC5FFC" w14:paraId="0F07DFE7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816A3" w14:textId="77777777" w:rsidR="00FD4238" w:rsidRPr="00BC5FFC" w:rsidRDefault="00FD4238" w:rsidP="00EA484D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lastRenderedPageBreak/>
              <w:t>Clinical Assignments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B9553E" w14:textId="77777777" w:rsidR="00FD4238" w:rsidRPr="00BC5FFC" w:rsidRDefault="00FD4238" w:rsidP="00EA484D">
            <w:pPr>
              <w:pStyle w:val="Heading2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t>Learning Objective(s)</w:t>
            </w:r>
          </w:p>
        </w:tc>
      </w:tr>
      <w:tr w:rsidR="00FD4238" w:rsidRPr="00BC5FFC" w14:paraId="3C205909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5531F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. Students will watch Module 1 of </w:t>
            </w:r>
            <w:r w:rsidRPr="00BC5FFC">
              <w:rPr>
                <w:rFonts w:ascii="Verdana" w:eastAsia="Calibri" w:hAnsi="Verdana"/>
                <w:i/>
                <w:iCs/>
                <w:sz w:val="22"/>
                <w:szCs w:val="22"/>
              </w:rPr>
              <w:t>Lippincott Video Series for Nursing Assistants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>.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F29A8F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3, 4, 10, </w:t>
            </w:r>
          </w:p>
        </w:tc>
      </w:tr>
      <w:tr w:rsidR="00FD4238" w:rsidRPr="00BC5FFC" w14:paraId="15994D69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47620" w14:textId="77777777" w:rsidR="00FD4238" w:rsidRPr="00BC5FFC" w:rsidRDefault="00FD4238" w:rsidP="001F7379">
            <w:pPr>
              <w:pStyle w:val="Heading3"/>
              <w:numPr>
                <w:ilvl w:val="0"/>
                <w:numId w:val="0"/>
              </w:numPr>
              <w:spacing w:before="0"/>
              <w:ind w:left="397" w:hanging="397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 Students’ responses should include the following:</w:t>
            </w:r>
          </w:p>
          <w:p w14:paraId="06348AE3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Speak privately with the person</w:t>
            </w:r>
          </w:p>
          <w:p w14:paraId="28C0D11A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Focus on the specific area of conflict</w:t>
            </w:r>
          </w:p>
          <w:p w14:paraId="0822937D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Be specific</w:t>
            </w:r>
          </w:p>
          <w:p w14:paraId="3180C900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Listen to the other person and allow the person to explain</w:t>
            </w:r>
          </w:p>
          <w:p w14:paraId="0EF71455" w14:textId="77777777" w:rsidR="00616C80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Apologize if misunderstanding occurred</w:t>
            </w:r>
          </w:p>
          <w:p w14:paraId="3DF2EDE9" w14:textId="14F4D0B3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Ask for insight into solutions to resolve the conflict</w:t>
            </w:r>
          </w:p>
          <w:p w14:paraId="2B9DDE29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Agree to disagree if necessary</w:t>
            </w:r>
          </w:p>
          <w:p w14:paraId="62608E8E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Seek advice from your supervisor if at work</w:t>
            </w:r>
          </w:p>
          <w:p w14:paraId="2D49B840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Avoid expressing how you feel about the other person</w:t>
            </w:r>
          </w:p>
          <w:p w14:paraId="002E40DA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Avoid saying how the other person should act or have acted</w:t>
            </w:r>
          </w:p>
          <w:p w14:paraId="47CBCFE5" w14:textId="77777777" w:rsidR="00616C80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Use “I” messages instead of “you” messages</w:t>
            </w:r>
          </w:p>
          <w:p w14:paraId="3F096AF6" w14:textId="030DE9B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Focus on contrasts between effective methods of communication and ineffective ones</w:t>
            </w:r>
          </w:p>
          <w:p w14:paraId="6759391F" w14:textId="77777777" w:rsidR="00FD4238" w:rsidRPr="00BC5FFC" w:rsidRDefault="00FD4238" w:rsidP="00EA484D">
            <w:pPr>
              <w:pStyle w:val="Heading3"/>
              <w:numPr>
                <w:ilvl w:val="0"/>
                <w:numId w:val="26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Review strategies for enhancing communication with coworkers, patients, and residents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13C0B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5</w:t>
            </w:r>
          </w:p>
        </w:tc>
      </w:tr>
      <w:tr w:rsidR="00FD4238" w:rsidRPr="00BC5FFC" w14:paraId="31834527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B7FB3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#3.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 Obtain a patient’s or resident’s complete medical record and Kardex.</w:t>
            </w:r>
          </w:p>
          <w:p w14:paraId="469EC59A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Go over the medical record and have the students point out the different components of the chart.</w:t>
            </w:r>
          </w:p>
          <w:p w14:paraId="540F7B09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Show the students the flow sheets and narrative sheets where nursing assistants’ document care given and observations made.</w:t>
            </w:r>
          </w:p>
          <w:p w14:paraId="70EFFD28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Point out the five steps of the nursing process in the plan of care:</w:t>
            </w:r>
          </w:p>
          <w:p w14:paraId="41CFCF28" w14:textId="77777777" w:rsidR="00FD4238" w:rsidRPr="00BC5FFC" w:rsidRDefault="00FD4238" w:rsidP="001F7379">
            <w:pPr>
              <w:pStyle w:val="Heading3"/>
              <w:numPr>
                <w:ilvl w:val="0"/>
                <w:numId w:val="28"/>
              </w:numPr>
              <w:spacing w:before="0" w:line="360" w:lineRule="auto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Assessment documentation</w:t>
            </w:r>
          </w:p>
          <w:p w14:paraId="5C4B1376" w14:textId="77777777" w:rsidR="00FD4238" w:rsidRPr="00BC5FFC" w:rsidRDefault="00FD4238" w:rsidP="001F7379">
            <w:pPr>
              <w:pStyle w:val="Heading3"/>
              <w:numPr>
                <w:ilvl w:val="0"/>
                <w:numId w:val="28"/>
              </w:numPr>
              <w:spacing w:before="0" w:line="360" w:lineRule="auto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Nursing diagnosis(es)</w:t>
            </w:r>
          </w:p>
          <w:p w14:paraId="47367F37" w14:textId="77777777" w:rsidR="00FD4238" w:rsidRPr="00BC5FFC" w:rsidRDefault="00FD4238" w:rsidP="001F7379">
            <w:pPr>
              <w:pStyle w:val="Heading3"/>
              <w:numPr>
                <w:ilvl w:val="0"/>
                <w:numId w:val="28"/>
              </w:numPr>
              <w:spacing w:before="0" w:line="360" w:lineRule="auto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Planning of care</w:t>
            </w:r>
          </w:p>
          <w:p w14:paraId="10BB49A9" w14:textId="77777777" w:rsidR="00FD4238" w:rsidRPr="00BC5FFC" w:rsidRDefault="00FD4238" w:rsidP="001F7379">
            <w:pPr>
              <w:pStyle w:val="Heading3"/>
              <w:numPr>
                <w:ilvl w:val="0"/>
                <w:numId w:val="28"/>
              </w:numPr>
              <w:spacing w:before="0" w:line="360" w:lineRule="auto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Who is responsible for implementing portions of the care plan</w:t>
            </w:r>
          </w:p>
          <w:p w14:paraId="0DECCAE8" w14:textId="77777777" w:rsidR="00FD4238" w:rsidRPr="00BC5FFC" w:rsidRDefault="00FD4238" w:rsidP="001F7379">
            <w:pPr>
              <w:pStyle w:val="Heading3"/>
              <w:numPr>
                <w:ilvl w:val="0"/>
                <w:numId w:val="28"/>
              </w:numPr>
              <w:spacing w:before="0" w:line="360" w:lineRule="auto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Documentation of the evaluation of effectiveness</w:t>
            </w:r>
          </w:p>
          <w:p w14:paraId="3DFE97B6" w14:textId="59DDE410" w:rsidR="003C547F" w:rsidRPr="00BC5FFC" w:rsidRDefault="003C547F" w:rsidP="003C547F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Show the students the Kardex (or its equivalent).</w:t>
            </w:r>
          </w:p>
          <w:p w14:paraId="7A66AC1B" w14:textId="4FF01786" w:rsidR="003C547F" w:rsidRPr="00BC5FFC" w:rsidRDefault="003C547F" w:rsidP="001F7379">
            <w:pPr>
              <w:rPr>
                <w:rFonts w:ascii="Verdana" w:hAnsi="Verdana"/>
                <w:sz w:val="22"/>
              </w:rPr>
            </w:pP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579EC" w14:textId="6CEF8C24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 xml:space="preserve">7, 8, 9 </w:t>
            </w:r>
          </w:p>
        </w:tc>
      </w:tr>
    </w:tbl>
    <w:p w14:paraId="1400AAA9" w14:textId="77777777" w:rsidR="00FD4238" w:rsidRPr="00BC5FFC" w:rsidRDefault="00FD4238" w:rsidP="00FD4238">
      <w:pPr>
        <w:rPr>
          <w:rFonts w:ascii="Verdana" w:eastAsia="Calibri" w:hAnsi="Verdana"/>
          <w:sz w:val="22"/>
        </w:rPr>
      </w:pPr>
      <w:r w:rsidRPr="00BC5FFC">
        <w:rPr>
          <w:rFonts w:ascii="Verdana" w:eastAsia="Calibri" w:hAnsi="Verdana"/>
          <w:sz w:val="22"/>
        </w:rPr>
        <w:lastRenderedPageBreak/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0"/>
        <w:gridCol w:w="1998"/>
      </w:tblGrid>
      <w:tr w:rsidR="00FD4238" w:rsidRPr="00BC5FFC" w14:paraId="754EC8BD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9FBF6D" w14:textId="77777777" w:rsidR="00FD4238" w:rsidRPr="00BC5FFC" w:rsidRDefault="00FD4238" w:rsidP="00EA484D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t>Web Assignment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7FB4FB" w14:textId="77777777" w:rsidR="00FD4238" w:rsidRPr="00BC5FFC" w:rsidRDefault="00FD4238" w:rsidP="00EA484D">
            <w:pPr>
              <w:pStyle w:val="Heading2"/>
              <w:numPr>
                <w:ilvl w:val="0"/>
                <w:numId w:val="0"/>
              </w:numPr>
              <w:rPr>
                <w:rFonts w:ascii="Verdana" w:eastAsia="Calibri" w:hAnsi="Verdana"/>
                <w:szCs w:val="22"/>
              </w:rPr>
            </w:pPr>
            <w:r w:rsidRPr="00BC5FFC">
              <w:rPr>
                <w:rFonts w:ascii="Verdana" w:eastAsia="Calibri" w:hAnsi="Verdana"/>
                <w:szCs w:val="22"/>
              </w:rPr>
              <w:t>Learning Objective</w:t>
            </w:r>
          </w:p>
        </w:tc>
      </w:tr>
      <w:tr w:rsidR="00FD4238" w:rsidRPr="00BC5FFC" w14:paraId="1197A131" w14:textId="77777777" w:rsidTr="00DA13B6">
        <w:tc>
          <w:tcPr>
            <w:tcW w:w="7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7E668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BC5FFC">
              <w:rPr>
                <w:rFonts w:ascii="Verdana" w:eastAsia="Calibri" w:hAnsi="Verdana"/>
                <w:sz w:val="22"/>
                <w:szCs w:val="22"/>
              </w:rPr>
              <w:t>. Students can access information by entering “health information technology” into their browser. Topics that could be suggested include:</w:t>
            </w:r>
          </w:p>
          <w:p w14:paraId="14CF056A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Electronic health records (EHRs)</w:t>
            </w:r>
          </w:p>
          <w:p w14:paraId="650F80FB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Personal health records (PHRs)</w:t>
            </w:r>
          </w:p>
          <w:p w14:paraId="1ED41658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E-prescribing</w:t>
            </w:r>
          </w:p>
          <w:p w14:paraId="4969FCCB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Digital radiology</w:t>
            </w:r>
          </w:p>
          <w:p w14:paraId="0213D4E3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Documentation using PC or PDA</w:t>
            </w:r>
          </w:p>
          <w:p w14:paraId="4DDAB379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Online medical consultation</w:t>
            </w:r>
          </w:p>
          <w:p w14:paraId="5A240CD6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Smartphone technology</w:t>
            </w:r>
          </w:p>
          <w:p w14:paraId="340D6375" w14:textId="77777777" w:rsidR="00FD4238" w:rsidRPr="00BC5FFC" w:rsidRDefault="00FD4238" w:rsidP="00EA484D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</w:pPr>
            <w:proofErr w:type="spellStart"/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Daylink</w:t>
            </w:r>
            <w:proofErr w:type="spellEnd"/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 xml:space="preserve">, </w:t>
            </w:r>
            <w:proofErr w:type="spellStart"/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VitalWatch</w:t>
            </w:r>
            <w:proofErr w:type="spellEnd"/>
            <w:r w:rsidRPr="00BC5FFC">
              <w:rPr>
                <w:rFonts w:ascii="Verdana" w:eastAsia="Calibri" w:hAnsi="Verdana" w:cs="Times New Roman"/>
                <w:color w:val="auto"/>
                <w:kern w:val="28"/>
                <w:sz w:val="22"/>
                <w:szCs w:val="22"/>
              </w:rPr>
              <w:t>, or other companies and products that deal with health information communication technologies</w:t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AD40B2" w14:textId="77777777" w:rsidR="00FD4238" w:rsidRPr="00BC5FFC" w:rsidRDefault="00FD4238" w:rsidP="00EA484D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eastAsia="Calibri" w:hAnsi="Verdana"/>
                <w:sz w:val="22"/>
                <w:szCs w:val="22"/>
              </w:rPr>
            </w:pPr>
            <w:r w:rsidRPr="00BC5FFC">
              <w:rPr>
                <w:rFonts w:ascii="Verdana" w:eastAsia="Calibri" w:hAnsi="Verdana"/>
                <w:sz w:val="22"/>
                <w:szCs w:val="22"/>
              </w:rPr>
              <w:t>9</w:t>
            </w:r>
          </w:p>
        </w:tc>
      </w:tr>
    </w:tbl>
    <w:p w14:paraId="010F94F2" w14:textId="77777777" w:rsidR="00FD4238" w:rsidRPr="00BC5FFC" w:rsidRDefault="00FD4238" w:rsidP="00FD4238">
      <w:pPr>
        <w:rPr>
          <w:rFonts w:ascii="Verdana" w:eastAsia="Calibri" w:hAnsi="Verdana"/>
          <w:sz w:val="22"/>
        </w:rPr>
      </w:pPr>
      <w:r w:rsidRPr="00BC5FFC">
        <w:rPr>
          <w:rFonts w:ascii="Verdana" w:eastAsia="Calibri" w:hAnsi="Verdana"/>
          <w:sz w:val="22"/>
        </w:rPr>
        <w:t xml:space="preserve"> </w:t>
      </w:r>
    </w:p>
    <w:p w14:paraId="4DD1B31C" w14:textId="77777777" w:rsidR="00FD4238" w:rsidRPr="00BC5FFC" w:rsidRDefault="00FD4238" w:rsidP="00FD4238">
      <w:pPr>
        <w:rPr>
          <w:rFonts w:ascii="Verdana" w:eastAsia="Calibri" w:hAnsi="Verdana"/>
          <w:sz w:val="22"/>
        </w:rPr>
      </w:pPr>
      <w:r w:rsidRPr="00BC5FFC">
        <w:rPr>
          <w:rFonts w:ascii="Verdana" w:eastAsia="Calibri" w:hAnsi="Verdana"/>
          <w:sz w:val="22"/>
        </w:rPr>
        <w:t xml:space="preserve"> </w:t>
      </w:r>
    </w:p>
    <w:p w14:paraId="00D11B4C" w14:textId="77777777" w:rsidR="00FD4238" w:rsidRPr="00BC5FFC" w:rsidRDefault="00FD4238" w:rsidP="00FD4238">
      <w:pPr>
        <w:rPr>
          <w:rFonts w:ascii="Verdana" w:hAnsi="Verdana"/>
          <w:sz w:val="22"/>
          <w:lang w:eastAsia="de-DE"/>
        </w:rPr>
      </w:pPr>
    </w:p>
    <w:p w14:paraId="0070F96F" w14:textId="255D81A3" w:rsidR="008569C4" w:rsidRPr="00BC5FFC" w:rsidRDefault="008569C4" w:rsidP="00EA484D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</w:p>
    <w:p w14:paraId="529850AC" w14:textId="31DC2E28" w:rsidR="00FD4238" w:rsidRPr="00BC5FFC" w:rsidRDefault="00FD4238" w:rsidP="00FD4238">
      <w:pPr>
        <w:rPr>
          <w:rFonts w:ascii="Verdana" w:hAnsi="Verdana"/>
          <w:sz w:val="22"/>
        </w:rPr>
      </w:pPr>
    </w:p>
    <w:p w14:paraId="38BE2D8A" w14:textId="385BBC17" w:rsidR="001E2049" w:rsidRPr="00BC5FFC" w:rsidRDefault="001E2049" w:rsidP="009B6106">
      <w:pPr>
        <w:rPr>
          <w:rFonts w:ascii="Verdana" w:hAnsi="Verdana"/>
          <w:sz w:val="22"/>
          <w:lang w:eastAsia="de-DE"/>
        </w:rPr>
      </w:pPr>
    </w:p>
    <w:sectPr w:rsidR="001E2049" w:rsidRPr="00BC5FFC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3C79F" w14:textId="77777777" w:rsidR="00FE3F52" w:rsidRDefault="00FE3F52" w:rsidP="00291CA2">
      <w:pPr>
        <w:spacing w:line="240" w:lineRule="auto"/>
      </w:pPr>
      <w:r>
        <w:separator/>
      </w:r>
    </w:p>
  </w:endnote>
  <w:endnote w:type="continuationSeparator" w:id="0">
    <w:p w14:paraId="2C803EF8" w14:textId="77777777" w:rsidR="00FE3F52" w:rsidRDefault="00FE3F5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02A6B12A" w14:textId="77777777" w:rsidTr="001E2049">
      <w:tc>
        <w:tcPr>
          <w:tcW w:w="9746" w:type="dxa"/>
          <w:vAlign w:val="bottom"/>
        </w:tcPr>
        <w:p w14:paraId="4784CCE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CB62498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C5FFC">
            <w:rPr>
              <w:noProof/>
            </w:rPr>
            <w:t>4</w:t>
          </w:r>
          <w:r>
            <w:fldChar w:fldCharType="end"/>
          </w:r>
        </w:p>
      </w:tc>
    </w:tr>
  </w:tbl>
  <w:p w14:paraId="4FE758D8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F495A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42B104" wp14:editId="5815D30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28D16" w14:textId="77777777" w:rsidR="00FE3F52" w:rsidRDefault="00FE3F52" w:rsidP="00291CA2">
      <w:pPr>
        <w:spacing w:line="240" w:lineRule="auto"/>
      </w:pPr>
      <w:r>
        <w:separator/>
      </w:r>
    </w:p>
  </w:footnote>
  <w:footnote w:type="continuationSeparator" w:id="0">
    <w:p w14:paraId="15217554" w14:textId="77777777" w:rsidR="00FE3F52" w:rsidRDefault="00FE3F5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483AD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489576D2" wp14:editId="009465E6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A4C57"/>
    <w:multiLevelType w:val="hybridMultilevel"/>
    <w:tmpl w:val="DEF8692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ED4E8D"/>
    <w:multiLevelType w:val="multilevel"/>
    <w:tmpl w:val="44280DF8"/>
    <w:numStyleLink w:val="Headinglist"/>
  </w:abstractNum>
  <w:abstractNum w:abstractNumId="4" w15:restartNumberingAfterBreak="0">
    <w:nsid w:val="17624E26"/>
    <w:multiLevelType w:val="hybridMultilevel"/>
    <w:tmpl w:val="8D9C078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2869AF"/>
    <w:multiLevelType w:val="hybridMultilevel"/>
    <w:tmpl w:val="79EE14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51506"/>
    <w:multiLevelType w:val="hybridMultilevel"/>
    <w:tmpl w:val="610C9B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C260D34"/>
    <w:multiLevelType w:val="hybridMultilevel"/>
    <w:tmpl w:val="78DC2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6073A1"/>
    <w:multiLevelType w:val="multilevel"/>
    <w:tmpl w:val="B4C2E896"/>
    <w:numStyleLink w:val="Bulletlist"/>
  </w:abstractNum>
  <w:abstractNum w:abstractNumId="10" w15:restartNumberingAfterBreak="0">
    <w:nsid w:val="231E6FBA"/>
    <w:multiLevelType w:val="multilevel"/>
    <w:tmpl w:val="1DFE0D1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76F74"/>
    <w:multiLevelType w:val="multilevel"/>
    <w:tmpl w:val="FFB0C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572BE1"/>
    <w:multiLevelType w:val="multilevel"/>
    <w:tmpl w:val="44280DF8"/>
    <w:numStyleLink w:val="Headinglist"/>
  </w:abstractNum>
  <w:abstractNum w:abstractNumId="13" w15:restartNumberingAfterBreak="0">
    <w:nsid w:val="30753454"/>
    <w:multiLevelType w:val="hybridMultilevel"/>
    <w:tmpl w:val="63AA06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DD83692"/>
    <w:multiLevelType w:val="multilevel"/>
    <w:tmpl w:val="720A8DF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52194"/>
    <w:multiLevelType w:val="multilevel"/>
    <w:tmpl w:val="BC80F5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07A6D"/>
    <w:multiLevelType w:val="multilevel"/>
    <w:tmpl w:val="B4C2E896"/>
    <w:numStyleLink w:val="Bulletlist"/>
  </w:abstractNum>
  <w:abstractNum w:abstractNumId="18" w15:restartNumberingAfterBreak="0">
    <w:nsid w:val="59C93129"/>
    <w:multiLevelType w:val="multilevel"/>
    <w:tmpl w:val="43F476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E1B4C"/>
    <w:multiLevelType w:val="multilevel"/>
    <w:tmpl w:val="44280DF8"/>
    <w:numStyleLink w:val="Headinglist"/>
  </w:abstractNum>
  <w:abstractNum w:abstractNumId="20" w15:restartNumberingAfterBreak="0">
    <w:nsid w:val="64F4343F"/>
    <w:multiLevelType w:val="multilevel"/>
    <w:tmpl w:val="44280DF8"/>
    <w:numStyleLink w:val="Headinglist"/>
  </w:abstractNum>
  <w:abstractNum w:abstractNumId="21" w15:restartNumberingAfterBreak="0">
    <w:nsid w:val="65222853"/>
    <w:multiLevelType w:val="multilevel"/>
    <w:tmpl w:val="8B408E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6C1EC4"/>
    <w:multiLevelType w:val="multilevel"/>
    <w:tmpl w:val="B4C2E896"/>
    <w:numStyleLink w:val="Bulletlist"/>
  </w:abstractNum>
  <w:abstractNum w:abstractNumId="23" w15:restartNumberingAfterBreak="0">
    <w:nsid w:val="6732311E"/>
    <w:multiLevelType w:val="multilevel"/>
    <w:tmpl w:val="1E04C8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D3968"/>
    <w:multiLevelType w:val="hybridMultilevel"/>
    <w:tmpl w:val="1CD6AE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0B3523"/>
    <w:multiLevelType w:val="multilevel"/>
    <w:tmpl w:val="67DAA9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731900">
    <w:abstractNumId w:val="7"/>
  </w:num>
  <w:num w:numId="2" w16cid:durableId="231504736">
    <w:abstractNumId w:val="7"/>
  </w:num>
  <w:num w:numId="3" w16cid:durableId="889998817">
    <w:abstractNumId w:val="7"/>
  </w:num>
  <w:num w:numId="4" w16cid:durableId="696544942">
    <w:abstractNumId w:val="2"/>
  </w:num>
  <w:num w:numId="5" w16cid:durableId="1606883009">
    <w:abstractNumId w:val="12"/>
  </w:num>
  <w:num w:numId="6" w16cid:durableId="221410197">
    <w:abstractNumId w:val="19"/>
  </w:num>
  <w:num w:numId="7" w16cid:durableId="670106833">
    <w:abstractNumId w:val="14"/>
  </w:num>
  <w:num w:numId="8" w16cid:durableId="79184023">
    <w:abstractNumId w:val="0"/>
  </w:num>
  <w:num w:numId="9" w16cid:durableId="146477574">
    <w:abstractNumId w:val="22"/>
  </w:num>
  <w:num w:numId="10" w16cid:durableId="1570917011">
    <w:abstractNumId w:val="9"/>
  </w:num>
  <w:num w:numId="11" w16cid:durableId="1199509879">
    <w:abstractNumId w:val="17"/>
  </w:num>
  <w:num w:numId="12" w16cid:durableId="1038359432">
    <w:abstractNumId w:val="3"/>
  </w:num>
  <w:num w:numId="13" w16cid:durableId="1181047528">
    <w:abstractNumId w:val="20"/>
  </w:num>
  <w:num w:numId="14" w16cid:durableId="316883690">
    <w:abstractNumId w:val="11"/>
  </w:num>
  <w:num w:numId="15" w16cid:durableId="91896579">
    <w:abstractNumId w:val="16"/>
  </w:num>
  <w:num w:numId="16" w16cid:durableId="1119373441">
    <w:abstractNumId w:val="10"/>
  </w:num>
  <w:num w:numId="17" w16cid:durableId="19466062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782454596">
    <w:abstractNumId w:val="23"/>
  </w:num>
  <w:num w:numId="19" w16cid:durableId="1640987946">
    <w:abstractNumId w:val="18"/>
  </w:num>
  <w:num w:numId="20" w16cid:durableId="1784229529">
    <w:abstractNumId w:val="25"/>
  </w:num>
  <w:num w:numId="21" w16cid:durableId="1093435115">
    <w:abstractNumId w:val="21"/>
  </w:num>
  <w:num w:numId="22" w16cid:durableId="1341272273">
    <w:abstractNumId w:val="4"/>
  </w:num>
  <w:num w:numId="23" w16cid:durableId="473986673">
    <w:abstractNumId w:val="5"/>
  </w:num>
  <w:num w:numId="24" w16cid:durableId="1207255963">
    <w:abstractNumId w:val="1"/>
  </w:num>
  <w:num w:numId="25" w16cid:durableId="276183700">
    <w:abstractNumId w:val="8"/>
  </w:num>
  <w:num w:numId="26" w16cid:durableId="1162350207">
    <w:abstractNumId w:val="24"/>
  </w:num>
  <w:num w:numId="27" w16cid:durableId="625430188">
    <w:abstractNumId w:val="6"/>
  </w:num>
  <w:num w:numId="28" w16cid:durableId="188540740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4238"/>
    <w:rsid w:val="000225A6"/>
    <w:rsid w:val="0003366F"/>
    <w:rsid w:val="000406B1"/>
    <w:rsid w:val="00043C8A"/>
    <w:rsid w:val="00081DAB"/>
    <w:rsid w:val="00081F77"/>
    <w:rsid w:val="000A006E"/>
    <w:rsid w:val="000E45B5"/>
    <w:rsid w:val="00141660"/>
    <w:rsid w:val="00145E2E"/>
    <w:rsid w:val="001B183D"/>
    <w:rsid w:val="001D07AE"/>
    <w:rsid w:val="001E2049"/>
    <w:rsid w:val="001F0D8F"/>
    <w:rsid w:val="001F7379"/>
    <w:rsid w:val="00215E24"/>
    <w:rsid w:val="00250B53"/>
    <w:rsid w:val="002609FC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3C547F"/>
    <w:rsid w:val="003D0B77"/>
    <w:rsid w:val="003F3876"/>
    <w:rsid w:val="00407BB1"/>
    <w:rsid w:val="00407F47"/>
    <w:rsid w:val="004214D4"/>
    <w:rsid w:val="004377B9"/>
    <w:rsid w:val="00476641"/>
    <w:rsid w:val="004D34AE"/>
    <w:rsid w:val="004E3766"/>
    <w:rsid w:val="00524967"/>
    <w:rsid w:val="00540939"/>
    <w:rsid w:val="0056008D"/>
    <w:rsid w:val="005613E5"/>
    <w:rsid w:val="005C5E2D"/>
    <w:rsid w:val="005D52ED"/>
    <w:rsid w:val="00613D2D"/>
    <w:rsid w:val="00616C80"/>
    <w:rsid w:val="00673354"/>
    <w:rsid w:val="006A4739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04DD"/>
    <w:rsid w:val="007B5109"/>
    <w:rsid w:val="0080300F"/>
    <w:rsid w:val="00816977"/>
    <w:rsid w:val="00822A97"/>
    <w:rsid w:val="008569C4"/>
    <w:rsid w:val="008703C2"/>
    <w:rsid w:val="008933D3"/>
    <w:rsid w:val="008A11B8"/>
    <w:rsid w:val="008A58BF"/>
    <w:rsid w:val="008B3D87"/>
    <w:rsid w:val="008C4F0B"/>
    <w:rsid w:val="008F4222"/>
    <w:rsid w:val="009008B6"/>
    <w:rsid w:val="009102B7"/>
    <w:rsid w:val="009175B1"/>
    <w:rsid w:val="00954377"/>
    <w:rsid w:val="0098330B"/>
    <w:rsid w:val="0099702B"/>
    <w:rsid w:val="009A09A8"/>
    <w:rsid w:val="009B40BF"/>
    <w:rsid w:val="009B6106"/>
    <w:rsid w:val="00A06AF8"/>
    <w:rsid w:val="00A07639"/>
    <w:rsid w:val="00A73169"/>
    <w:rsid w:val="00AB3D6E"/>
    <w:rsid w:val="00AE5C40"/>
    <w:rsid w:val="00AE7FA9"/>
    <w:rsid w:val="00AF0936"/>
    <w:rsid w:val="00AF2AE3"/>
    <w:rsid w:val="00AF6645"/>
    <w:rsid w:val="00B1166B"/>
    <w:rsid w:val="00B12219"/>
    <w:rsid w:val="00B1271A"/>
    <w:rsid w:val="00B20D41"/>
    <w:rsid w:val="00B62074"/>
    <w:rsid w:val="00B664A6"/>
    <w:rsid w:val="00B85C4B"/>
    <w:rsid w:val="00B94051"/>
    <w:rsid w:val="00BB4EA8"/>
    <w:rsid w:val="00BC4B10"/>
    <w:rsid w:val="00BC5FFC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A5F06"/>
    <w:rsid w:val="00DC2093"/>
    <w:rsid w:val="00DC2193"/>
    <w:rsid w:val="00DD6D04"/>
    <w:rsid w:val="00E100A8"/>
    <w:rsid w:val="00E27383"/>
    <w:rsid w:val="00E31E10"/>
    <w:rsid w:val="00E679CE"/>
    <w:rsid w:val="00E70C89"/>
    <w:rsid w:val="00E843DA"/>
    <w:rsid w:val="00EA484D"/>
    <w:rsid w:val="00EB546E"/>
    <w:rsid w:val="00F704D9"/>
    <w:rsid w:val="00F958A8"/>
    <w:rsid w:val="00FA4FFA"/>
    <w:rsid w:val="00FD4238"/>
    <w:rsid w:val="00FE3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BA7B1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9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D42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D42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D4238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5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58BF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8A58BF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powerpoint\Templates%20-20221124T113014Z-001\Template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E21012-E4FC-4D68-843E-7D00C3B9C1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13</TotalTime>
  <Pages>4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5, Communication Skills</dc:title>
  <dc:subject/>
  <dc:creator>IDS_03</dc:creator>
  <cp:keywords/>
  <dc:description/>
  <cp:lastModifiedBy>Devaraj N</cp:lastModifiedBy>
  <cp:revision>10</cp:revision>
  <dcterms:created xsi:type="dcterms:W3CDTF">2023-01-11T14:14:00Z</dcterms:created>
  <dcterms:modified xsi:type="dcterms:W3CDTF">2023-04-04T08:00:00Z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