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2599" w14:textId="3EE57F64" w:rsidR="00444DD8" w:rsidRPr="00C656B3" w:rsidRDefault="00AE7FA9" w:rsidP="00C656B3">
      <w:pPr>
        <w:pStyle w:val="Heading1withoutnumbering"/>
        <w:rPr>
          <w:lang w:bidi="en-US"/>
        </w:rPr>
      </w:pPr>
      <w:r w:rsidRPr="00C656B3">
        <w:rPr>
          <w:noProof/>
          <w:lang w:val="en-IN" w:eastAsia="en-IN"/>
        </w:rPr>
        <mc:AlternateContent>
          <mc:Choice Requires="wps">
            <w:drawing>
              <wp:inline distT="0" distB="0" distL="0" distR="0" wp14:anchorId="477A0724" wp14:editId="60B45F7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BB1E24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444DD8" w:rsidRPr="00063CA3">
        <w:rPr>
          <w:rFonts w:ascii="Cambria" w:hAnsi="Cambria"/>
          <w:b/>
          <w:bCs/>
          <w:color w:val="0070C0"/>
          <w:sz w:val="32"/>
          <w:szCs w:val="32"/>
          <w:lang w:bidi="en-US"/>
        </w:rPr>
        <w:t>Suggested Answers to Assignments</w:t>
      </w:r>
      <w:r w:rsidR="00C656B3" w:rsidRPr="00063CA3">
        <w:rPr>
          <w:rFonts w:ascii="Cambria" w:hAnsi="Cambria"/>
          <w:b/>
          <w:bCs/>
          <w:color w:val="0070C0"/>
          <w:sz w:val="32"/>
          <w:szCs w:val="32"/>
          <w:lang w:bidi="en-US"/>
        </w:rPr>
        <w:t xml:space="preserve">, </w:t>
      </w:r>
      <w:r w:rsidR="00444DD8" w:rsidRPr="00063CA3">
        <w:rPr>
          <w:rFonts w:ascii="Cambria" w:hAnsi="Cambria"/>
          <w:b/>
          <w:bCs/>
          <w:color w:val="0070C0"/>
          <w:sz w:val="32"/>
          <w:szCs w:val="32"/>
          <w:lang w:bidi="en-US"/>
        </w:rPr>
        <w:t>Chapter 2</w:t>
      </w:r>
      <w:r w:rsidR="00473772" w:rsidRPr="00063CA3">
        <w:rPr>
          <w:rFonts w:ascii="Cambria" w:hAnsi="Cambria"/>
          <w:b/>
          <w:bCs/>
          <w:color w:val="0070C0"/>
          <w:sz w:val="32"/>
          <w:szCs w:val="32"/>
          <w:lang w:bidi="en-US"/>
        </w:rPr>
        <w:t>6</w:t>
      </w:r>
      <w:r w:rsidR="00444DD8" w:rsidRPr="00063CA3">
        <w:rPr>
          <w:rFonts w:ascii="Cambria" w:hAnsi="Cambria"/>
          <w:b/>
          <w:bCs/>
          <w:color w:val="0070C0"/>
          <w:sz w:val="32"/>
          <w:szCs w:val="32"/>
          <w:lang w:bidi="en-US"/>
        </w:rPr>
        <w:t>, Caring for People Who Are Terminally Ill</w:t>
      </w:r>
    </w:p>
    <w:p w14:paraId="6EA25677" w14:textId="77777777" w:rsidR="00444DD8" w:rsidRPr="00C656B3" w:rsidRDefault="00444DD8" w:rsidP="00444DD8">
      <w:pPr>
        <w:spacing w:line="240" w:lineRule="auto"/>
        <w:rPr>
          <w:rFonts w:ascii="Verdana" w:eastAsia="Calibri" w:hAnsi="Verdana" w:cs="Times New Roman"/>
          <w:color w:val="auto"/>
          <w:sz w:val="22"/>
          <w:lang w:bidi="en-US"/>
        </w:rPr>
      </w:pPr>
    </w:p>
    <w:tbl>
      <w:tblPr>
        <w:tblStyle w:val="TableGrid18"/>
        <w:tblW w:w="0" w:type="auto"/>
        <w:tblLook w:val="04A0" w:firstRow="1" w:lastRow="0" w:firstColumn="1" w:lastColumn="0" w:noHBand="0" w:noVBand="1"/>
        <w:tblDescription w:val="This table describes about the Written Assignments"/>
      </w:tblPr>
      <w:tblGrid>
        <w:gridCol w:w="7235"/>
        <w:gridCol w:w="2115"/>
      </w:tblGrid>
      <w:tr w:rsidR="00444DD8" w:rsidRPr="00C656B3" w14:paraId="76FD36E3" w14:textId="77777777" w:rsidTr="0071780B">
        <w:trPr>
          <w:tblHeader/>
        </w:trPr>
        <w:tc>
          <w:tcPr>
            <w:tcW w:w="7235" w:type="dxa"/>
          </w:tcPr>
          <w:p w14:paraId="64DC050B"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Written Assignments</w:t>
            </w:r>
          </w:p>
        </w:tc>
        <w:tc>
          <w:tcPr>
            <w:tcW w:w="2115" w:type="dxa"/>
          </w:tcPr>
          <w:p w14:paraId="67BA73E6"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Learning Objective(s)</w:t>
            </w:r>
          </w:p>
        </w:tc>
      </w:tr>
      <w:tr w:rsidR="00444DD8" w:rsidRPr="00C656B3" w14:paraId="79C3000B" w14:textId="77777777" w:rsidTr="0071780B">
        <w:tc>
          <w:tcPr>
            <w:tcW w:w="7235" w:type="dxa"/>
          </w:tcPr>
          <w:p w14:paraId="6B2F97BA" w14:textId="1D679AAD" w:rsidR="00444DD8" w:rsidRPr="00C656B3" w:rsidRDefault="00444DD8" w:rsidP="00444DD8">
            <w:pPr>
              <w:spacing w:line="240" w:lineRule="auto"/>
              <w:rPr>
                <w:rFonts w:ascii="Verdana" w:hAnsi="Verdana"/>
                <w:sz w:val="22"/>
                <w:szCs w:val="22"/>
                <w:lang w:bidi="en-US"/>
              </w:rPr>
            </w:pPr>
            <w:r w:rsidRPr="00C656B3">
              <w:rPr>
                <w:rFonts w:ascii="Verdana" w:hAnsi="Verdana"/>
                <w:sz w:val="22"/>
                <w:szCs w:val="22"/>
                <w:lang w:bidi="en-US"/>
              </w:rPr>
              <w:t>Assignment #1. Students to complete Chapter 2</w:t>
            </w:r>
            <w:r w:rsidR="00473772" w:rsidRPr="00C656B3">
              <w:rPr>
                <w:rFonts w:ascii="Verdana" w:hAnsi="Verdana"/>
                <w:sz w:val="22"/>
                <w:szCs w:val="22"/>
                <w:lang w:bidi="en-US"/>
              </w:rPr>
              <w:t>6</w:t>
            </w:r>
            <w:r w:rsidRPr="00C656B3">
              <w:rPr>
                <w:rFonts w:ascii="Verdana" w:hAnsi="Verdana"/>
                <w:sz w:val="22"/>
                <w:szCs w:val="22"/>
                <w:lang w:bidi="en-US"/>
              </w:rPr>
              <w:t xml:space="preserve"> of </w:t>
            </w:r>
            <w:r w:rsidRPr="00C656B3">
              <w:rPr>
                <w:rFonts w:ascii="Verdana" w:hAnsi="Verdana"/>
                <w:i/>
                <w:iCs/>
                <w:sz w:val="22"/>
                <w:szCs w:val="22"/>
                <w:lang w:bidi="en-US"/>
              </w:rPr>
              <w:t>Lippincott Workbook for Nursing Assistants</w:t>
            </w:r>
            <w:r w:rsidRPr="00C656B3">
              <w:rPr>
                <w:rFonts w:ascii="Verdana" w:hAnsi="Verdana"/>
                <w:sz w:val="22"/>
                <w:szCs w:val="22"/>
                <w:lang w:bidi="en-US"/>
              </w:rPr>
              <w:t>.</w:t>
            </w:r>
          </w:p>
        </w:tc>
        <w:tc>
          <w:tcPr>
            <w:tcW w:w="2115" w:type="dxa"/>
          </w:tcPr>
          <w:p w14:paraId="1BDC9EC1" w14:textId="77777777" w:rsidR="00444DD8" w:rsidRPr="00C656B3" w:rsidRDefault="00444DD8" w:rsidP="00444DD8">
            <w:pPr>
              <w:spacing w:line="240" w:lineRule="auto"/>
              <w:rPr>
                <w:rFonts w:ascii="Verdana" w:hAnsi="Verdana"/>
                <w:sz w:val="22"/>
                <w:szCs w:val="22"/>
                <w:lang w:bidi="en-US"/>
              </w:rPr>
            </w:pPr>
            <w:r w:rsidRPr="00C656B3">
              <w:rPr>
                <w:rFonts w:ascii="Verdana" w:hAnsi="Verdana"/>
                <w:sz w:val="22"/>
                <w:szCs w:val="22"/>
                <w:lang w:bidi="en-US"/>
              </w:rPr>
              <w:t>1–7</w:t>
            </w:r>
          </w:p>
        </w:tc>
      </w:tr>
      <w:tr w:rsidR="00444DD8" w:rsidRPr="00C656B3" w14:paraId="1DDD9C3A" w14:textId="77777777" w:rsidTr="0071780B">
        <w:tc>
          <w:tcPr>
            <w:tcW w:w="7235" w:type="dxa"/>
          </w:tcPr>
          <w:p w14:paraId="48E58D19" w14:textId="77777777" w:rsidR="00444DD8" w:rsidRPr="00C656B3" w:rsidRDefault="00444DD8" w:rsidP="00444DD8">
            <w:pPr>
              <w:spacing w:line="240" w:lineRule="auto"/>
              <w:rPr>
                <w:rFonts w:ascii="Verdana" w:hAnsi="Verdana"/>
                <w:sz w:val="22"/>
                <w:szCs w:val="22"/>
                <w:lang w:bidi="en-US"/>
              </w:rPr>
            </w:pPr>
            <w:r w:rsidRPr="00C656B3">
              <w:rPr>
                <w:rFonts w:ascii="Verdana" w:hAnsi="Verdana"/>
                <w:sz w:val="22"/>
                <w:szCs w:val="22"/>
                <w:lang w:bidi="en-US"/>
              </w:rPr>
              <w:t>Assignment #2. Students’ papers may or may not identify any personal experience with death or terminal illness. Feelings about providing care to a terminally ill person might include:</w:t>
            </w:r>
          </w:p>
          <w:p w14:paraId="2962CF86"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Fear</w:t>
            </w:r>
          </w:p>
          <w:p w14:paraId="4EC0208B"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Anxiety</w:t>
            </w:r>
          </w:p>
          <w:p w14:paraId="3BAD5EAC"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Avoidance</w:t>
            </w:r>
          </w:p>
          <w:p w14:paraId="0515AEBA"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Grief</w:t>
            </w:r>
          </w:p>
          <w:p w14:paraId="2BDCB890"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Feeling inadequate</w:t>
            </w:r>
          </w:p>
          <w:p w14:paraId="4DA13F7B" w14:textId="77777777" w:rsidR="00444DD8" w:rsidRPr="00C656B3" w:rsidRDefault="00444DD8" w:rsidP="00444DD8">
            <w:pPr>
              <w:numPr>
                <w:ilvl w:val="0"/>
                <w:numId w:val="7"/>
              </w:numPr>
              <w:spacing w:line="240" w:lineRule="auto"/>
              <w:contextualSpacing/>
              <w:rPr>
                <w:rFonts w:ascii="Verdana" w:hAnsi="Verdana"/>
                <w:sz w:val="22"/>
                <w:szCs w:val="22"/>
                <w:lang w:bidi="en-US"/>
              </w:rPr>
            </w:pPr>
            <w:r w:rsidRPr="00C656B3">
              <w:rPr>
                <w:rFonts w:ascii="Verdana" w:hAnsi="Verdana"/>
                <w:sz w:val="22"/>
                <w:szCs w:val="22"/>
                <w:lang w:bidi="en-US"/>
              </w:rPr>
              <w:t>Questioning being a nursing assistant</w:t>
            </w:r>
          </w:p>
        </w:tc>
        <w:tc>
          <w:tcPr>
            <w:tcW w:w="2115" w:type="dxa"/>
          </w:tcPr>
          <w:p w14:paraId="3E0D435A" w14:textId="2AA5B2B2" w:rsidR="00444DD8" w:rsidRPr="00C656B3" w:rsidRDefault="00A105E7" w:rsidP="00444DD8">
            <w:pPr>
              <w:spacing w:line="240" w:lineRule="auto"/>
              <w:rPr>
                <w:rFonts w:ascii="Verdana" w:hAnsi="Verdana"/>
                <w:sz w:val="22"/>
                <w:szCs w:val="22"/>
                <w:lang w:bidi="en-US"/>
              </w:rPr>
            </w:pPr>
            <w:r w:rsidRPr="00C656B3">
              <w:rPr>
                <w:rFonts w:ascii="Verdana" w:hAnsi="Verdana"/>
                <w:sz w:val="22"/>
                <w:szCs w:val="22"/>
                <w:lang w:bidi="en-US"/>
              </w:rPr>
              <w:t xml:space="preserve">3, </w:t>
            </w:r>
            <w:r w:rsidR="00E1646D" w:rsidRPr="00C656B3">
              <w:rPr>
                <w:rFonts w:ascii="Verdana" w:hAnsi="Verdana"/>
                <w:sz w:val="22"/>
                <w:szCs w:val="22"/>
                <w:lang w:bidi="en-US"/>
              </w:rPr>
              <w:t>4</w:t>
            </w:r>
          </w:p>
        </w:tc>
      </w:tr>
    </w:tbl>
    <w:p w14:paraId="59BF3050" w14:textId="77777777" w:rsidR="00444DD8" w:rsidRPr="00C656B3" w:rsidRDefault="00444DD8" w:rsidP="00444DD8">
      <w:pPr>
        <w:spacing w:line="240" w:lineRule="auto"/>
        <w:rPr>
          <w:rFonts w:ascii="Verdana" w:eastAsia="Calibri" w:hAnsi="Verdana" w:cs="Times New Roman"/>
          <w:color w:val="auto"/>
          <w:sz w:val="22"/>
          <w:lang w:bidi="en-US"/>
        </w:rPr>
      </w:pPr>
    </w:p>
    <w:tbl>
      <w:tblPr>
        <w:tblStyle w:val="TableGrid18"/>
        <w:tblW w:w="0" w:type="auto"/>
        <w:tblLook w:val="04A0" w:firstRow="1" w:lastRow="0" w:firstColumn="1" w:lastColumn="0" w:noHBand="0" w:noVBand="1"/>
        <w:tblDescription w:val="This table describes about the Group Assignments"/>
      </w:tblPr>
      <w:tblGrid>
        <w:gridCol w:w="7235"/>
        <w:gridCol w:w="2115"/>
      </w:tblGrid>
      <w:tr w:rsidR="00444DD8" w:rsidRPr="00C656B3" w14:paraId="059EC450" w14:textId="77777777" w:rsidTr="0071780B">
        <w:trPr>
          <w:tblHeader/>
        </w:trPr>
        <w:tc>
          <w:tcPr>
            <w:tcW w:w="7235" w:type="dxa"/>
          </w:tcPr>
          <w:p w14:paraId="16AD65B3"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Group Assignments</w:t>
            </w:r>
          </w:p>
        </w:tc>
        <w:tc>
          <w:tcPr>
            <w:tcW w:w="2115" w:type="dxa"/>
          </w:tcPr>
          <w:p w14:paraId="15234871" w14:textId="4FEFD98F"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Learning Objective</w:t>
            </w:r>
            <w:r w:rsidR="007E4AE0" w:rsidRPr="00C656B3">
              <w:rPr>
                <w:rFonts w:ascii="Verdana" w:hAnsi="Verdana"/>
                <w:szCs w:val="22"/>
                <w:lang w:bidi="en-US"/>
              </w:rPr>
              <w:t>(s)</w:t>
            </w:r>
          </w:p>
        </w:tc>
      </w:tr>
      <w:tr w:rsidR="00444DD8" w:rsidRPr="00C656B3" w14:paraId="543B617A" w14:textId="77777777" w:rsidTr="0071780B">
        <w:tc>
          <w:tcPr>
            <w:tcW w:w="7235" w:type="dxa"/>
          </w:tcPr>
          <w:p w14:paraId="36DDD973"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Assignment #1. Obtain the video The Bucket List to show to the class. Assign one stage of grief to each group of five students. Stages the students will discuss after viewing the film include:</w:t>
            </w:r>
          </w:p>
          <w:p w14:paraId="77EBE6F1" w14:textId="77777777" w:rsidR="00444DD8" w:rsidRPr="00C656B3" w:rsidRDefault="00444DD8" w:rsidP="00495906">
            <w:pPr>
              <w:numPr>
                <w:ilvl w:val="0"/>
                <w:numId w:val="8"/>
              </w:numPr>
              <w:contextualSpacing/>
              <w:rPr>
                <w:rFonts w:ascii="Verdana" w:hAnsi="Verdana"/>
                <w:sz w:val="22"/>
                <w:szCs w:val="22"/>
                <w:lang w:bidi="en-US"/>
              </w:rPr>
            </w:pPr>
            <w:r w:rsidRPr="00C656B3">
              <w:rPr>
                <w:rFonts w:ascii="Verdana" w:hAnsi="Verdana"/>
                <w:sz w:val="22"/>
                <w:szCs w:val="22"/>
                <w:lang w:bidi="en-US"/>
              </w:rPr>
              <w:t>Denial</w:t>
            </w:r>
          </w:p>
          <w:p w14:paraId="3007A769" w14:textId="77777777" w:rsidR="00444DD8" w:rsidRPr="00C656B3" w:rsidRDefault="00444DD8" w:rsidP="00495906">
            <w:pPr>
              <w:numPr>
                <w:ilvl w:val="0"/>
                <w:numId w:val="8"/>
              </w:numPr>
              <w:contextualSpacing/>
              <w:rPr>
                <w:rFonts w:ascii="Verdana" w:hAnsi="Verdana"/>
                <w:sz w:val="22"/>
                <w:szCs w:val="22"/>
                <w:lang w:bidi="en-US"/>
              </w:rPr>
            </w:pPr>
            <w:r w:rsidRPr="00C656B3">
              <w:rPr>
                <w:rFonts w:ascii="Verdana" w:hAnsi="Verdana"/>
                <w:sz w:val="22"/>
                <w:szCs w:val="22"/>
                <w:lang w:bidi="en-US"/>
              </w:rPr>
              <w:t>Anger</w:t>
            </w:r>
          </w:p>
          <w:p w14:paraId="30AE245D" w14:textId="77777777" w:rsidR="00444DD8" w:rsidRPr="00C656B3" w:rsidRDefault="00444DD8" w:rsidP="00495906">
            <w:pPr>
              <w:numPr>
                <w:ilvl w:val="0"/>
                <w:numId w:val="8"/>
              </w:numPr>
              <w:contextualSpacing/>
              <w:rPr>
                <w:rFonts w:ascii="Verdana" w:hAnsi="Verdana"/>
                <w:sz w:val="22"/>
                <w:szCs w:val="22"/>
                <w:lang w:bidi="en-US"/>
              </w:rPr>
            </w:pPr>
            <w:r w:rsidRPr="00C656B3">
              <w:rPr>
                <w:rFonts w:ascii="Verdana" w:hAnsi="Verdana"/>
                <w:sz w:val="22"/>
                <w:szCs w:val="22"/>
                <w:lang w:bidi="en-US"/>
              </w:rPr>
              <w:t>Bargaining</w:t>
            </w:r>
          </w:p>
          <w:p w14:paraId="23B5C6A0" w14:textId="77777777" w:rsidR="00444DD8" w:rsidRPr="00C656B3" w:rsidRDefault="00444DD8" w:rsidP="00495906">
            <w:pPr>
              <w:numPr>
                <w:ilvl w:val="0"/>
                <w:numId w:val="8"/>
              </w:numPr>
              <w:contextualSpacing/>
              <w:rPr>
                <w:rFonts w:ascii="Verdana" w:hAnsi="Verdana"/>
                <w:sz w:val="22"/>
                <w:szCs w:val="22"/>
                <w:lang w:bidi="en-US"/>
              </w:rPr>
            </w:pPr>
            <w:r w:rsidRPr="00C656B3">
              <w:rPr>
                <w:rFonts w:ascii="Verdana" w:hAnsi="Verdana"/>
                <w:sz w:val="22"/>
                <w:szCs w:val="22"/>
                <w:lang w:bidi="en-US"/>
              </w:rPr>
              <w:t>Depression</w:t>
            </w:r>
          </w:p>
          <w:p w14:paraId="0F919C81" w14:textId="77777777" w:rsidR="00444DD8" w:rsidRPr="00C656B3" w:rsidRDefault="00444DD8" w:rsidP="00495906">
            <w:pPr>
              <w:numPr>
                <w:ilvl w:val="0"/>
                <w:numId w:val="8"/>
              </w:numPr>
              <w:contextualSpacing/>
              <w:rPr>
                <w:rFonts w:ascii="Verdana" w:hAnsi="Verdana"/>
                <w:sz w:val="22"/>
                <w:szCs w:val="22"/>
                <w:lang w:bidi="en-US"/>
              </w:rPr>
            </w:pPr>
            <w:r w:rsidRPr="00C656B3">
              <w:rPr>
                <w:rFonts w:ascii="Verdana" w:hAnsi="Verdana"/>
                <w:sz w:val="22"/>
                <w:szCs w:val="22"/>
                <w:lang w:bidi="en-US"/>
              </w:rPr>
              <w:t>Acceptance</w:t>
            </w:r>
          </w:p>
        </w:tc>
        <w:tc>
          <w:tcPr>
            <w:tcW w:w="2115" w:type="dxa"/>
          </w:tcPr>
          <w:p w14:paraId="602DB310" w14:textId="14EA46D2" w:rsidR="00444DD8" w:rsidRPr="00C656B3" w:rsidRDefault="004C1AD7" w:rsidP="00495906">
            <w:pPr>
              <w:rPr>
                <w:rFonts w:ascii="Verdana" w:hAnsi="Verdana"/>
                <w:sz w:val="22"/>
                <w:szCs w:val="22"/>
                <w:lang w:bidi="en-US"/>
              </w:rPr>
            </w:pPr>
            <w:r w:rsidRPr="00C656B3">
              <w:rPr>
                <w:rFonts w:ascii="Verdana" w:hAnsi="Verdana"/>
                <w:sz w:val="22"/>
                <w:szCs w:val="22"/>
                <w:lang w:bidi="en-US"/>
              </w:rPr>
              <w:t xml:space="preserve">2 </w:t>
            </w:r>
          </w:p>
        </w:tc>
      </w:tr>
      <w:tr w:rsidR="00444DD8" w:rsidRPr="00C656B3" w14:paraId="1E795F5A" w14:textId="77777777" w:rsidTr="0071780B">
        <w:tc>
          <w:tcPr>
            <w:tcW w:w="7235" w:type="dxa"/>
          </w:tcPr>
          <w:p w14:paraId="0517580C"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Assignment #2. Students’ discussion should include the following:</w:t>
            </w:r>
          </w:p>
          <w:p w14:paraId="6B9965DA" w14:textId="7AAB98DD" w:rsidR="00444DD8" w:rsidRPr="00C656B3" w:rsidRDefault="00444DD8" w:rsidP="00495906">
            <w:pPr>
              <w:numPr>
                <w:ilvl w:val="0"/>
                <w:numId w:val="9"/>
              </w:numPr>
              <w:contextualSpacing/>
              <w:rPr>
                <w:rFonts w:ascii="Verdana" w:hAnsi="Verdana"/>
                <w:sz w:val="22"/>
                <w:szCs w:val="22"/>
                <w:lang w:bidi="en-US"/>
              </w:rPr>
            </w:pPr>
            <w:r w:rsidRPr="00C656B3">
              <w:rPr>
                <w:rFonts w:ascii="Verdana" w:hAnsi="Verdana"/>
                <w:sz w:val="22"/>
                <w:szCs w:val="22"/>
                <w:lang w:bidi="en-US"/>
              </w:rPr>
              <w:t>Supportive care provides treatments and care that don’t prolong life but make a person more comfortable.</w:t>
            </w:r>
          </w:p>
          <w:p w14:paraId="76E53D73"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Oxygen</w:t>
            </w:r>
          </w:p>
          <w:p w14:paraId="53735C4A"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Nutritional supplements</w:t>
            </w:r>
          </w:p>
          <w:p w14:paraId="0BA851F0"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Pain medications</w:t>
            </w:r>
          </w:p>
          <w:p w14:paraId="535C0980"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Range-of-motion exercises</w:t>
            </w:r>
          </w:p>
          <w:p w14:paraId="0CE55EE0"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Grooming and hygiene</w:t>
            </w:r>
          </w:p>
          <w:p w14:paraId="56757604"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Repositioning</w:t>
            </w:r>
          </w:p>
          <w:p w14:paraId="733D4B98" w14:textId="77777777" w:rsidR="00444DD8" w:rsidRPr="00C656B3" w:rsidRDefault="00444DD8" w:rsidP="00495906">
            <w:pPr>
              <w:numPr>
                <w:ilvl w:val="0"/>
                <w:numId w:val="9"/>
              </w:numPr>
              <w:contextualSpacing/>
              <w:rPr>
                <w:rFonts w:ascii="Verdana" w:hAnsi="Verdana"/>
                <w:sz w:val="22"/>
                <w:szCs w:val="22"/>
                <w:lang w:bidi="en-US"/>
              </w:rPr>
            </w:pPr>
            <w:r w:rsidRPr="00C656B3">
              <w:rPr>
                <w:rFonts w:ascii="Verdana" w:hAnsi="Verdana"/>
                <w:sz w:val="22"/>
                <w:szCs w:val="22"/>
                <w:lang w:bidi="en-US"/>
              </w:rPr>
              <w:t>Palliative care provides treatment to relieve uncomfortable symptoms.</w:t>
            </w:r>
          </w:p>
          <w:p w14:paraId="118A05C0"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lastRenderedPageBreak/>
              <w:t>Pain medication</w:t>
            </w:r>
          </w:p>
          <w:p w14:paraId="770B5038"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Chemotherapy or radiation to shrink tumors and relieve pain from pressure</w:t>
            </w:r>
          </w:p>
          <w:p w14:paraId="08115A66"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Oxygen</w:t>
            </w:r>
          </w:p>
          <w:p w14:paraId="1CC5BDD1" w14:textId="77777777" w:rsidR="00444DD8" w:rsidRPr="00C656B3" w:rsidRDefault="00444DD8" w:rsidP="00495906">
            <w:pPr>
              <w:numPr>
                <w:ilvl w:val="1"/>
                <w:numId w:val="9"/>
              </w:numPr>
              <w:contextualSpacing/>
              <w:rPr>
                <w:rFonts w:ascii="Verdana" w:hAnsi="Verdana"/>
                <w:sz w:val="22"/>
                <w:szCs w:val="22"/>
                <w:lang w:bidi="en-US"/>
              </w:rPr>
            </w:pPr>
            <w:r w:rsidRPr="00C656B3">
              <w:rPr>
                <w:rFonts w:ascii="Verdana" w:hAnsi="Verdana"/>
                <w:sz w:val="22"/>
                <w:szCs w:val="22"/>
                <w:lang w:bidi="en-US"/>
              </w:rPr>
              <w:t>Surgery not meant to be curative</w:t>
            </w:r>
          </w:p>
        </w:tc>
        <w:tc>
          <w:tcPr>
            <w:tcW w:w="2115" w:type="dxa"/>
          </w:tcPr>
          <w:p w14:paraId="690FCEB2" w14:textId="2414476E" w:rsidR="00444DD8" w:rsidRPr="00C656B3" w:rsidRDefault="000A7FC6" w:rsidP="00495906">
            <w:pPr>
              <w:rPr>
                <w:rFonts w:ascii="Verdana" w:hAnsi="Verdana"/>
                <w:sz w:val="22"/>
                <w:szCs w:val="22"/>
                <w:lang w:bidi="en-US"/>
              </w:rPr>
            </w:pPr>
            <w:r w:rsidRPr="00C656B3">
              <w:rPr>
                <w:rFonts w:ascii="Verdana" w:hAnsi="Verdana"/>
                <w:sz w:val="22"/>
                <w:szCs w:val="22"/>
                <w:lang w:bidi="en-US"/>
              </w:rPr>
              <w:lastRenderedPageBreak/>
              <w:t>5</w:t>
            </w:r>
          </w:p>
        </w:tc>
      </w:tr>
    </w:tbl>
    <w:p w14:paraId="314BCD9F" w14:textId="77777777" w:rsidR="00444DD8" w:rsidRPr="00C656B3" w:rsidRDefault="00444DD8" w:rsidP="00444DD8">
      <w:pPr>
        <w:spacing w:line="240" w:lineRule="auto"/>
        <w:rPr>
          <w:rFonts w:ascii="Verdana" w:eastAsia="Calibri" w:hAnsi="Verdana" w:cs="Times New Roman"/>
          <w:color w:val="auto"/>
          <w:sz w:val="22"/>
          <w:lang w:bidi="en-US"/>
        </w:rPr>
      </w:pPr>
    </w:p>
    <w:tbl>
      <w:tblPr>
        <w:tblStyle w:val="TableGrid18"/>
        <w:tblW w:w="0" w:type="auto"/>
        <w:tblLook w:val="04A0" w:firstRow="1" w:lastRow="0" w:firstColumn="1" w:lastColumn="0" w:noHBand="0" w:noVBand="1"/>
        <w:tblDescription w:val="This table describes about the Clinical Assignments"/>
      </w:tblPr>
      <w:tblGrid>
        <w:gridCol w:w="7235"/>
        <w:gridCol w:w="2115"/>
      </w:tblGrid>
      <w:tr w:rsidR="00444DD8" w:rsidRPr="00C656B3" w14:paraId="3A20B309" w14:textId="77777777" w:rsidTr="0071780B">
        <w:trPr>
          <w:tblHeader/>
        </w:trPr>
        <w:tc>
          <w:tcPr>
            <w:tcW w:w="7235" w:type="dxa"/>
          </w:tcPr>
          <w:p w14:paraId="441C2301"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Clinical Assignments</w:t>
            </w:r>
          </w:p>
        </w:tc>
        <w:tc>
          <w:tcPr>
            <w:tcW w:w="2115" w:type="dxa"/>
          </w:tcPr>
          <w:p w14:paraId="0677B9D4"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Learning Objective(s)</w:t>
            </w:r>
          </w:p>
        </w:tc>
      </w:tr>
      <w:tr w:rsidR="00444DD8" w:rsidRPr="00C656B3" w14:paraId="5B443E10" w14:textId="77777777" w:rsidTr="0071780B">
        <w:tc>
          <w:tcPr>
            <w:tcW w:w="7235" w:type="dxa"/>
          </w:tcPr>
          <w:p w14:paraId="138142E1"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 xml:space="preserve">Assignment #1. Students watch Module 14 of </w:t>
            </w:r>
            <w:r w:rsidRPr="00C656B3">
              <w:rPr>
                <w:rFonts w:ascii="Verdana" w:hAnsi="Verdana"/>
                <w:i/>
                <w:iCs/>
                <w:sz w:val="22"/>
                <w:szCs w:val="22"/>
                <w:lang w:bidi="en-US"/>
              </w:rPr>
              <w:t>Lippincott Video Series for Nursing Assistants</w:t>
            </w:r>
            <w:r w:rsidRPr="00C656B3">
              <w:rPr>
                <w:rFonts w:ascii="Verdana" w:hAnsi="Verdana"/>
                <w:sz w:val="22"/>
                <w:szCs w:val="22"/>
                <w:lang w:bidi="en-US"/>
              </w:rPr>
              <w:t>.</w:t>
            </w:r>
          </w:p>
        </w:tc>
        <w:tc>
          <w:tcPr>
            <w:tcW w:w="2115" w:type="dxa"/>
          </w:tcPr>
          <w:p w14:paraId="60EF66B6"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1–7</w:t>
            </w:r>
          </w:p>
        </w:tc>
      </w:tr>
      <w:tr w:rsidR="00444DD8" w:rsidRPr="00C656B3" w14:paraId="10A071EC" w14:textId="77777777" w:rsidTr="0071780B">
        <w:tc>
          <w:tcPr>
            <w:tcW w:w="7235" w:type="dxa"/>
          </w:tcPr>
          <w:p w14:paraId="640DE5DE"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Assignment #2. Hospice representative could cover these topics:</w:t>
            </w:r>
          </w:p>
          <w:p w14:paraId="043871BC"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History of the hospice movement</w:t>
            </w:r>
          </w:p>
          <w:p w14:paraId="046FE4FC"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The members of the hospice team</w:t>
            </w:r>
          </w:p>
          <w:p w14:paraId="53B0470D"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Grief counseling for family</w:t>
            </w:r>
          </w:p>
          <w:p w14:paraId="2CA29DB5"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Where care is provided</w:t>
            </w:r>
          </w:p>
          <w:p w14:paraId="7588F660"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Eligibility to enter hospice care</w:t>
            </w:r>
          </w:p>
          <w:p w14:paraId="2260C7F9"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Supportive and palliative care</w:t>
            </w:r>
          </w:p>
          <w:p w14:paraId="75E4621D"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Assistance to obtain special equipment</w:t>
            </w:r>
          </w:p>
          <w:p w14:paraId="5594D763" w14:textId="77777777" w:rsidR="00444DD8" w:rsidRPr="00C656B3" w:rsidRDefault="00444DD8" w:rsidP="00495906">
            <w:pPr>
              <w:numPr>
                <w:ilvl w:val="0"/>
                <w:numId w:val="10"/>
              </w:numPr>
              <w:contextualSpacing/>
              <w:rPr>
                <w:rFonts w:ascii="Verdana" w:hAnsi="Verdana"/>
                <w:sz w:val="22"/>
                <w:szCs w:val="22"/>
                <w:lang w:bidi="en-US"/>
              </w:rPr>
            </w:pPr>
            <w:r w:rsidRPr="00C656B3">
              <w:rPr>
                <w:rFonts w:ascii="Verdana" w:hAnsi="Verdana"/>
                <w:sz w:val="22"/>
                <w:szCs w:val="22"/>
                <w:lang w:bidi="en-US"/>
              </w:rPr>
              <w:t>Honoring wishes of person and family</w:t>
            </w:r>
          </w:p>
        </w:tc>
        <w:tc>
          <w:tcPr>
            <w:tcW w:w="2115" w:type="dxa"/>
          </w:tcPr>
          <w:p w14:paraId="4A17DDAF" w14:textId="3905053A" w:rsidR="00444DD8" w:rsidRPr="00C656B3" w:rsidRDefault="00F909AD" w:rsidP="00495906">
            <w:pPr>
              <w:rPr>
                <w:rFonts w:ascii="Verdana" w:hAnsi="Verdana"/>
                <w:sz w:val="22"/>
                <w:szCs w:val="22"/>
                <w:lang w:bidi="en-US"/>
              </w:rPr>
            </w:pPr>
            <w:r w:rsidRPr="00C656B3">
              <w:rPr>
                <w:rFonts w:ascii="Verdana" w:hAnsi="Verdana"/>
                <w:sz w:val="22"/>
                <w:szCs w:val="22"/>
                <w:lang w:bidi="en-US"/>
              </w:rPr>
              <w:t>6</w:t>
            </w:r>
          </w:p>
        </w:tc>
      </w:tr>
    </w:tbl>
    <w:p w14:paraId="763F1B0F" w14:textId="77777777" w:rsidR="00444DD8" w:rsidRPr="00C656B3" w:rsidRDefault="00444DD8" w:rsidP="00444DD8">
      <w:pPr>
        <w:spacing w:line="240" w:lineRule="auto"/>
        <w:rPr>
          <w:rFonts w:ascii="Verdana" w:eastAsia="Calibri" w:hAnsi="Verdana" w:cs="Times New Roman"/>
          <w:color w:val="auto"/>
          <w:sz w:val="22"/>
          <w:lang w:bidi="en-US"/>
        </w:rPr>
      </w:pPr>
    </w:p>
    <w:tbl>
      <w:tblPr>
        <w:tblStyle w:val="TableGrid18"/>
        <w:tblW w:w="0" w:type="auto"/>
        <w:tblLook w:val="04A0" w:firstRow="1" w:lastRow="0" w:firstColumn="1" w:lastColumn="0" w:noHBand="0" w:noVBand="1"/>
        <w:tblDescription w:val="This table describes about the Web Assignment"/>
      </w:tblPr>
      <w:tblGrid>
        <w:gridCol w:w="7235"/>
        <w:gridCol w:w="2115"/>
      </w:tblGrid>
      <w:tr w:rsidR="00444DD8" w:rsidRPr="00C656B3" w14:paraId="58FFDA36" w14:textId="77777777" w:rsidTr="0071780B">
        <w:trPr>
          <w:tblHeader/>
        </w:trPr>
        <w:tc>
          <w:tcPr>
            <w:tcW w:w="7235" w:type="dxa"/>
          </w:tcPr>
          <w:p w14:paraId="6DFE14B8" w14:textId="77777777"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Web Assignment</w:t>
            </w:r>
          </w:p>
        </w:tc>
        <w:tc>
          <w:tcPr>
            <w:tcW w:w="2115" w:type="dxa"/>
          </w:tcPr>
          <w:p w14:paraId="476DC3DD" w14:textId="2AF398A1" w:rsidR="00444DD8" w:rsidRPr="00C656B3" w:rsidRDefault="00444DD8" w:rsidP="00495906">
            <w:pPr>
              <w:pStyle w:val="Heading2"/>
              <w:numPr>
                <w:ilvl w:val="0"/>
                <w:numId w:val="0"/>
              </w:numPr>
              <w:rPr>
                <w:rFonts w:ascii="Verdana" w:hAnsi="Verdana"/>
                <w:szCs w:val="22"/>
                <w:lang w:bidi="en-US"/>
              </w:rPr>
            </w:pPr>
            <w:r w:rsidRPr="00C656B3">
              <w:rPr>
                <w:rFonts w:ascii="Verdana" w:hAnsi="Verdana"/>
                <w:szCs w:val="22"/>
                <w:lang w:bidi="en-US"/>
              </w:rPr>
              <w:t>Learning Objective</w:t>
            </w:r>
            <w:r w:rsidR="007E4AE0" w:rsidRPr="00C656B3">
              <w:rPr>
                <w:rFonts w:ascii="Verdana" w:hAnsi="Verdana"/>
                <w:szCs w:val="22"/>
                <w:lang w:bidi="en-US"/>
              </w:rPr>
              <w:t>(</w:t>
            </w:r>
            <w:r w:rsidRPr="00C656B3">
              <w:rPr>
                <w:rFonts w:ascii="Verdana" w:hAnsi="Verdana"/>
                <w:szCs w:val="22"/>
                <w:lang w:bidi="en-US"/>
              </w:rPr>
              <w:t>s</w:t>
            </w:r>
            <w:r w:rsidR="007E4AE0" w:rsidRPr="00C656B3">
              <w:rPr>
                <w:rFonts w:ascii="Verdana" w:hAnsi="Verdana"/>
                <w:szCs w:val="22"/>
                <w:lang w:bidi="en-US"/>
              </w:rPr>
              <w:t>)</w:t>
            </w:r>
          </w:p>
        </w:tc>
      </w:tr>
      <w:tr w:rsidR="00444DD8" w:rsidRPr="00C656B3" w14:paraId="7E7ECA6E" w14:textId="77777777" w:rsidTr="0071780B">
        <w:tc>
          <w:tcPr>
            <w:tcW w:w="7235" w:type="dxa"/>
          </w:tcPr>
          <w:p w14:paraId="6A633D28"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Assignment #1. Students can enter “end-of-life issues” to find web sites such as:</w:t>
            </w:r>
          </w:p>
          <w:p w14:paraId="7C2E04D0" w14:textId="77777777" w:rsidR="00444DD8" w:rsidRPr="00C656B3" w:rsidRDefault="00000000" w:rsidP="00495906">
            <w:pPr>
              <w:spacing w:line="240" w:lineRule="auto"/>
              <w:rPr>
                <w:rFonts w:ascii="Verdana" w:hAnsi="Verdana"/>
                <w:sz w:val="22"/>
                <w:szCs w:val="22"/>
                <w:lang w:bidi="en-US"/>
              </w:rPr>
            </w:pPr>
            <w:hyperlink r:id="rId11" w:tooltip="To know more about the end-of-life issues" w:history="1">
              <w:r w:rsidR="00444DD8" w:rsidRPr="00C656B3">
                <w:rPr>
                  <w:rFonts w:ascii="Verdana" w:hAnsi="Verdana"/>
                  <w:color w:val="0000FF"/>
                  <w:sz w:val="22"/>
                  <w:szCs w:val="22"/>
                  <w:u w:val="single"/>
                  <w:lang w:bidi="en-US"/>
                </w:rPr>
                <w:t>http://www.usnews.com/news/articles/2014/03/24/is-there-a-right-to-die</w:t>
              </w:r>
            </w:hyperlink>
          </w:p>
        </w:tc>
        <w:tc>
          <w:tcPr>
            <w:tcW w:w="2115" w:type="dxa"/>
          </w:tcPr>
          <w:p w14:paraId="0C7BA53D" w14:textId="77777777" w:rsidR="00444DD8" w:rsidRPr="00C656B3" w:rsidRDefault="00444DD8" w:rsidP="00495906">
            <w:pPr>
              <w:rPr>
                <w:rFonts w:ascii="Verdana" w:hAnsi="Verdana"/>
                <w:sz w:val="22"/>
                <w:szCs w:val="22"/>
                <w:lang w:bidi="en-US"/>
              </w:rPr>
            </w:pPr>
            <w:r w:rsidRPr="00C656B3">
              <w:rPr>
                <w:rFonts w:ascii="Verdana" w:hAnsi="Verdana"/>
                <w:sz w:val="22"/>
                <w:szCs w:val="22"/>
                <w:lang w:bidi="en-US"/>
              </w:rPr>
              <w:t>1–7</w:t>
            </w:r>
          </w:p>
        </w:tc>
      </w:tr>
    </w:tbl>
    <w:p w14:paraId="6128E3C8" w14:textId="77777777" w:rsidR="00444DD8" w:rsidRPr="00C656B3" w:rsidRDefault="00444DD8" w:rsidP="00444DD8">
      <w:pPr>
        <w:spacing w:line="240" w:lineRule="auto"/>
        <w:rPr>
          <w:rFonts w:ascii="Verdana" w:eastAsia="Calibri" w:hAnsi="Verdana" w:cs="Times New Roman"/>
          <w:color w:val="auto"/>
          <w:sz w:val="22"/>
          <w:lang w:bidi="en-US"/>
        </w:rPr>
      </w:pPr>
    </w:p>
    <w:p w14:paraId="06C17A35" w14:textId="0FD28383" w:rsidR="001E2049" w:rsidRPr="00C656B3" w:rsidRDefault="001E2049" w:rsidP="00444DD8">
      <w:pPr>
        <w:rPr>
          <w:rFonts w:ascii="Verdana" w:hAnsi="Verdana"/>
          <w:sz w:val="22"/>
          <w:lang w:eastAsia="de-DE"/>
        </w:rPr>
      </w:pPr>
    </w:p>
    <w:sectPr w:rsidR="001E2049" w:rsidRPr="00C656B3" w:rsidSect="00954377">
      <w:headerReference w:type="default" r:id="rId12"/>
      <w:footerReference w:type="default" r:id="rId13"/>
      <w:footerReference w:type="first" r:id="rId14"/>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39D7" w14:textId="77777777" w:rsidR="00443DD9" w:rsidRDefault="00443DD9" w:rsidP="00291CA2">
      <w:pPr>
        <w:spacing w:line="240" w:lineRule="auto"/>
      </w:pPr>
      <w:r>
        <w:separator/>
      </w:r>
    </w:p>
  </w:endnote>
  <w:endnote w:type="continuationSeparator" w:id="0">
    <w:p w14:paraId="1F5D6417" w14:textId="77777777" w:rsidR="00443DD9" w:rsidRDefault="00443DD9"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C656B3">
            <w:rPr>
              <w:noProof/>
            </w:rPr>
            <w:t>2</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44287F9C">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B8D627" w14:textId="77777777" w:rsidR="00443DD9" w:rsidRDefault="00443DD9" w:rsidP="00291CA2">
      <w:pPr>
        <w:spacing w:line="240" w:lineRule="auto"/>
      </w:pPr>
      <w:r>
        <w:separator/>
      </w:r>
    </w:p>
  </w:footnote>
  <w:footnote w:type="continuationSeparator" w:id="0">
    <w:p w14:paraId="37476D1C" w14:textId="77777777" w:rsidR="00443DD9" w:rsidRDefault="00443DD9"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51D3C48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1862CFB"/>
    <w:multiLevelType w:val="hybridMultilevel"/>
    <w:tmpl w:val="AB9C1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AA61FBE"/>
    <w:multiLevelType w:val="hybridMultilevel"/>
    <w:tmpl w:val="CE96D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F543893"/>
    <w:multiLevelType w:val="hybridMultilevel"/>
    <w:tmpl w:val="41C45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65F37EB"/>
    <w:multiLevelType w:val="hybridMultilevel"/>
    <w:tmpl w:val="C65E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294167"/>
    <w:multiLevelType w:val="hybridMultilevel"/>
    <w:tmpl w:val="80CA3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F4343F"/>
    <w:multiLevelType w:val="multilevel"/>
    <w:tmpl w:val="44280DF8"/>
    <w:numStyleLink w:val="Headinglist"/>
  </w:abstractNum>
  <w:abstractNum w:abstractNumId="13" w15:restartNumberingAfterBreak="0">
    <w:nsid w:val="6938616E"/>
    <w:multiLevelType w:val="hybridMultilevel"/>
    <w:tmpl w:val="F3EC4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6925608">
    <w:abstractNumId w:val="5"/>
  </w:num>
  <w:num w:numId="2" w16cid:durableId="928122505">
    <w:abstractNumId w:val="7"/>
  </w:num>
  <w:num w:numId="3" w16cid:durableId="1623917885">
    <w:abstractNumId w:val="9"/>
  </w:num>
  <w:num w:numId="4" w16cid:durableId="931009374">
    <w:abstractNumId w:val="12"/>
  </w:num>
  <w:num w:numId="5" w16cid:durableId="623772868">
    <w:abstractNumId w:val="8"/>
  </w:num>
  <w:num w:numId="6" w16cid:durableId="1430006415">
    <w:abstractNumId w:val="4"/>
  </w:num>
  <w:num w:numId="7" w16cid:durableId="1497956717">
    <w:abstractNumId w:val="10"/>
  </w:num>
  <w:num w:numId="8" w16cid:durableId="454100982">
    <w:abstractNumId w:val="13"/>
  </w:num>
  <w:num w:numId="9" w16cid:durableId="1234002190">
    <w:abstractNumId w:val="11"/>
  </w:num>
  <w:num w:numId="10" w16cid:durableId="1053701186">
    <w:abstractNumId w:val="6"/>
  </w:num>
  <w:num w:numId="11" w16cid:durableId="139620793">
    <w:abstractNumId w:val="12"/>
  </w:num>
  <w:num w:numId="12" w16cid:durableId="1495104138">
    <w:abstractNumId w:val="12"/>
  </w:num>
  <w:num w:numId="13" w16cid:durableId="569465718">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WxMDUwNzEwNTMxtTRS0lEKTi0uzszPAykwrAUAKD8r6iwAAAA="/>
  </w:docVars>
  <w:rsids>
    <w:rsidRoot w:val="00802715"/>
    <w:rsid w:val="000225A6"/>
    <w:rsid w:val="0003366F"/>
    <w:rsid w:val="000406B1"/>
    <w:rsid w:val="00043C8A"/>
    <w:rsid w:val="00063CA3"/>
    <w:rsid w:val="00081DAB"/>
    <w:rsid w:val="00081F77"/>
    <w:rsid w:val="00083449"/>
    <w:rsid w:val="000A006E"/>
    <w:rsid w:val="000A1EB5"/>
    <w:rsid w:val="000A7FC6"/>
    <w:rsid w:val="000F3501"/>
    <w:rsid w:val="00141660"/>
    <w:rsid w:val="00145E2E"/>
    <w:rsid w:val="001555F5"/>
    <w:rsid w:val="00195DD3"/>
    <w:rsid w:val="001B183D"/>
    <w:rsid w:val="001C2604"/>
    <w:rsid w:val="001C626B"/>
    <w:rsid w:val="001D07AE"/>
    <w:rsid w:val="001E2049"/>
    <w:rsid w:val="001F0D8F"/>
    <w:rsid w:val="00215E24"/>
    <w:rsid w:val="00250B53"/>
    <w:rsid w:val="00267115"/>
    <w:rsid w:val="00291B64"/>
    <w:rsid w:val="00291CA2"/>
    <w:rsid w:val="002B02DB"/>
    <w:rsid w:val="002B4D70"/>
    <w:rsid w:val="002C09FD"/>
    <w:rsid w:val="002D1245"/>
    <w:rsid w:val="002E2AD0"/>
    <w:rsid w:val="00350EC9"/>
    <w:rsid w:val="0036221A"/>
    <w:rsid w:val="00383C5A"/>
    <w:rsid w:val="00395470"/>
    <w:rsid w:val="003C2972"/>
    <w:rsid w:val="003C2ED5"/>
    <w:rsid w:val="00407BB1"/>
    <w:rsid w:val="00407F47"/>
    <w:rsid w:val="004214D4"/>
    <w:rsid w:val="004377B9"/>
    <w:rsid w:val="00440958"/>
    <w:rsid w:val="00443DD9"/>
    <w:rsid w:val="00444DD8"/>
    <w:rsid w:val="0045584E"/>
    <w:rsid w:val="00473772"/>
    <w:rsid w:val="00495906"/>
    <w:rsid w:val="004C1AD7"/>
    <w:rsid w:val="004D34AE"/>
    <w:rsid w:val="004E3766"/>
    <w:rsid w:val="00540939"/>
    <w:rsid w:val="0056008D"/>
    <w:rsid w:val="005613E5"/>
    <w:rsid w:val="00597096"/>
    <w:rsid w:val="005C5E2D"/>
    <w:rsid w:val="005C65E6"/>
    <w:rsid w:val="005D52ED"/>
    <w:rsid w:val="005E7BC2"/>
    <w:rsid w:val="00600912"/>
    <w:rsid w:val="00613D2D"/>
    <w:rsid w:val="00624F0C"/>
    <w:rsid w:val="00651F7D"/>
    <w:rsid w:val="00671D76"/>
    <w:rsid w:val="00673354"/>
    <w:rsid w:val="006C339D"/>
    <w:rsid w:val="006D4E4F"/>
    <w:rsid w:val="006D7A15"/>
    <w:rsid w:val="006E58BE"/>
    <w:rsid w:val="006F4150"/>
    <w:rsid w:val="007172A0"/>
    <w:rsid w:val="00741331"/>
    <w:rsid w:val="0075497B"/>
    <w:rsid w:val="00764747"/>
    <w:rsid w:val="00770912"/>
    <w:rsid w:val="007776E2"/>
    <w:rsid w:val="00784CBB"/>
    <w:rsid w:val="007B5109"/>
    <w:rsid w:val="007E4AE0"/>
    <w:rsid w:val="00802715"/>
    <w:rsid w:val="0080300F"/>
    <w:rsid w:val="008158DF"/>
    <w:rsid w:val="00816977"/>
    <w:rsid w:val="00822A97"/>
    <w:rsid w:val="008569C4"/>
    <w:rsid w:val="008703C2"/>
    <w:rsid w:val="00893370"/>
    <w:rsid w:val="008933D3"/>
    <w:rsid w:val="008A11B8"/>
    <w:rsid w:val="008B3D87"/>
    <w:rsid w:val="008F4222"/>
    <w:rsid w:val="009008B6"/>
    <w:rsid w:val="009102B7"/>
    <w:rsid w:val="00954377"/>
    <w:rsid w:val="0098330B"/>
    <w:rsid w:val="0099702B"/>
    <w:rsid w:val="009A09A8"/>
    <w:rsid w:val="009B6106"/>
    <w:rsid w:val="00A06AF8"/>
    <w:rsid w:val="00A07639"/>
    <w:rsid w:val="00A105E7"/>
    <w:rsid w:val="00A16117"/>
    <w:rsid w:val="00A73169"/>
    <w:rsid w:val="00A93E18"/>
    <w:rsid w:val="00AB3D6E"/>
    <w:rsid w:val="00AE5C40"/>
    <w:rsid w:val="00AE7FA9"/>
    <w:rsid w:val="00AF0936"/>
    <w:rsid w:val="00AF2AE3"/>
    <w:rsid w:val="00AF6645"/>
    <w:rsid w:val="00B1166B"/>
    <w:rsid w:val="00B12219"/>
    <w:rsid w:val="00B20D41"/>
    <w:rsid w:val="00B215F0"/>
    <w:rsid w:val="00B62074"/>
    <w:rsid w:val="00B664A6"/>
    <w:rsid w:val="00B85C4B"/>
    <w:rsid w:val="00B90C0A"/>
    <w:rsid w:val="00B94051"/>
    <w:rsid w:val="00B9529F"/>
    <w:rsid w:val="00BA6D57"/>
    <w:rsid w:val="00BB4EA8"/>
    <w:rsid w:val="00BC4B10"/>
    <w:rsid w:val="00C07757"/>
    <w:rsid w:val="00C40B0D"/>
    <w:rsid w:val="00C46BF2"/>
    <w:rsid w:val="00C46EB6"/>
    <w:rsid w:val="00C4765D"/>
    <w:rsid w:val="00C518FA"/>
    <w:rsid w:val="00C656B3"/>
    <w:rsid w:val="00C83B34"/>
    <w:rsid w:val="00CD79C5"/>
    <w:rsid w:val="00CE18DB"/>
    <w:rsid w:val="00D27242"/>
    <w:rsid w:val="00D40F66"/>
    <w:rsid w:val="00D527C5"/>
    <w:rsid w:val="00D64A9B"/>
    <w:rsid w:val="00DA4EC2"/>
    <w:rsid w:val="00DC2093"/>
    <w:rsid w:val="00DD6D04"/>
    <w:rsid w:val="00E058D2"/>
    <w:rsid w:val="00E100A8"/>
    <w:rsid w:val="00E1646D"/>
    <w:rsid w:val="00E25DF8"/>
    <w:rsid w:val="00E31E10"/>
    <w:rsid w:val="00E679CE"/>
    <w:rsid w:val="00E70C89"/>
    <w:rsid w:val="00EB546E"/>
    <w:rsid w:val="00ED613C"/>
    <w:rsid w:val="00F36FAE"/>
    <w:rsid w:val="00F704D9"/>
    <w:rsid w:val="00F909AD"/>
    <w:rsid w:val="00F92E83"/>
    <w:rsid w:val="00F958A8"/>
    <w:rsid w:val="00FA49FC"/>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E25DF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195D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90C0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0A1EB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C65E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B215F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444D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73772"/>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4C1AD7"/>
    <w:rPr>
      <w:sz w:val="16"/>
      <w:szCs w:val="16"/>
    </w:rPr>
  </w:style>
  <w:style w:type="paragraph" w:styleId="CommentText">
    <w:name w:val="annotation text"/>
    <w:basedOn w:val="Normal"/>
    <w:link w:val="CommentTextChar"/>
    <w:uiPriority w:val="99"/>
    <w:unhideWhenUsed/>
    <w:rsid w:val="004C1AD7"/>
    <w:pPr>
      <w:spacing w:line="240" w:lineRule="auto"/>
    </w:pPr>
    <w:rPr>
      <w:sz w:val="20"/>
      <w:szCs w:val="20"/>
    </w:rPr>
  </w:style>
  <w:style w:type="character" w:customStyle="1" w:styleId="CommentTextChar">
    <w:name w:val="Comment Text Char"/>
    <w:basedOn w:val="DefaultParagraphFont"/>
    <w:link w:val="CommentText"/>
    <w:uiPriority w:val="99"/>
    <w:rsid w:val="004C1AD7"/>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4C1AD7"/>
    <w:rPr>
      <w:b/>
      <w:bCs/>
    </w:rPr>
  </w:style>
  <w:style w:type="character" w:customStyle="1" w:styleId="CommentSubjectChar">
    <w:name w:val="Comment Subject Char"/>
    <w:basedOn w:val="CommentTextChar"/>
    <w:link w:val="CommentSubject"/>
    <w:uiPriority w:val="99"/>
    <w:semiHidden/>
    <w:rsid w:val="004C1AD7"/>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snews.com/news/articles/2014/03/24/is-there-a-right-to-di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51BA9E-4A62-4F3C-8375-8D9EC05BD517}">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309</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26, Caring for People Who Are Terminally Ill</dc:title>
  <dc:subject/>
  <dc:creator>Innovative</dc:creator>
  <cp:keywords/>
  <dc:description/>
  <cp:lastModifiedBy>Devaraj N</cp:lastModifiedBy>
  <cp:revision>7</cp:revision>
  <dcterms:created xsi:type="dcterms:W3CDTF">2023-01-17T18:18:00Z</dcterms:created>
  <dcterms:modified xsi:type="dcterms:W3CDTF">2023-04-04T08:15:00Z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c705d63738b170fe80a2f09c6f109795977a08d13e0f0662ec5777c8d6fd38c8</vt:lpwstr>
  </property>
</Properties>
</file>