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2A12C" w14:textId="2035E0AB" w:rsidR="008158DF" w:rsidRPr="0031017D" w:rsidRDefault="00AE7FA9" w:rsidP="00C3278E">
      <w:pPr>
        <w:pStyle w:val="Heading1withoutnumbering"/>
        <w:rPr>
          <w:b/>
          <w:bCs/>
          <w:lang w:bidi="en-US"/>
        </w:rPr>
      </w:pPr>
      <w:r w:rsidRPr="00C3278E">
        <w:rPr>
          <w:noProof/>
          <w:lang w:val="en-IN" w:eastAsia="en-IN"/>
        </w:rPr>
        <mc:AlternateContent>
          <mc:Choice Requires="wps">
            <w:drawing>
              <wp:inline distT="0" distB="0" distL="0" distR="0" wp14:anchorId="477A0724" wp14:editId="463D6C03">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2BCDF95"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8158DF" w:rsidRPr="0031017D">
        <w:rPr>
          <w:rFonts w:ascii="Cambria" w:hAnsi="Cambria"/>
          <w:b/>
          <w:bCs/>
          <w:color w:val="007AC3" w:themeColor="accent1"/>
          <w:sz w:val="32"/>
          <w:szCs w:val="32"/>
          <w:lang w:bidi="en-US"/>
        </w:rPr>
        <w:t>Suggested Answers to Assignments</w:t>
      </w:r>
      <w:r w:rsidR="00C3278E" w:rsidRPr="0031017D">
        <w:rPr>
          <w:rFonts w:ascii="Cambria" w:hAnsi="Cambria"/>
          <w:b/>
          <w:bCs/>
          <w:color w:val="007AC3" w:themeColor="accent1"/>
          <w:sz w:val="32"/>
          <w:szCs w:val="32"/>
          <w:lang w:bidi="en-US"/>
        </w:rPr>
        <w:t xml:space="preserve">, </w:t>
      </w:r>
      <w:r w:rsidR="008158DF" w:rsidRPr="0031017D">
        <w:rPr>
          <w:rFonts w:ascii="Cambria" w:hAnsi="Cambria"/>
          <w:b/>
          <w:bCs/>
          <w:color w:val="007AC3" w:themeColor="accent1"/>
          <w:sz w:val="32"/>
          <w:szCs w:val="32"/>
          <w:lang w:bidi="en-US"/>
        </w:rPr>
        <w:t>Chapter</w:t>
      </w:r>
      <w:r w:rsidR="003E0BCA" w:rsidRPr="0031017D">
        <w:rPr>
          <w:rFonts w:ascii="Cambria" w:hAnsi="Cambria"/>
          <w:b/>
          <w:bCs/>
          <w:color w:val="007AC3" w:themeColor="accent1"/>
          <w:sz w:val="32"/>
          <w:szCs w:val="32"/>
          <w:lang w:bidi="en-US"/>
        </w:rPr>
        <w:t xml:space="preserve"> 19,</w:t>
      </w:r>
      <w:r w:rsidR="008158DF" w:rsidRPr="0031017D">
        <w:rPr>
          <w:rFonts w:ascii="Cambria" w:hAnsi="Cambria"/>
          <w:b/>
          <w:bCs/>
          <w:color w:val="007AC3" w:themeColor="accent1"/>
          <w:sz w:val="32"/>
          <w:szCs w:val="32"/>
          <w:lang w:bidi="en-US"/>
        </w:rPr>
        <w:t xml:space="preserve"> Bedmaking</w:t>
      </w:r>
    </w:p>
    <w:p w14:paraId="23EE03A8" w14:textId="77777777" w:rsidR="008158DF" w:rsidRPr="00C3278E" w:rsidRDefault="008158DF" w:rsidP="008158DF">
      <w:pPr>
        <w:spacing w:line="240" w:lineRule="auto"/>
        <w:rPr>
          <w:rFonts w:ascii="Verdana" w:eastAsia="Calibri" w:hAnsi="Verdana" w:cs="Times New Roman"/>
          <w:color w:val="auto"/>
          <w:sz w:val="22"/>
          <w:lang w:bidi="en-US"/>
        </w:rPr>
      </w:pPr>
    </w:p>
    <w:tbl>
      <w:tblPr>
        <w:tblStyle w:val="TableGrid8"/>
        <w:tblW w:w="0" w:type="auto"/>
        <w:tblLook w:val="04A0" w:firstRow="1" w:lastRow="0" w:firstColumn="1" w:lastColumn="0" w:noHBand="0" w:noVBand="1"/>
        <w:tblDescription w:val="This table describes about the Written Assignment"/>
      </w:tblPr>
      <w:tblGrid>
        <w:gridCol w:w="7364"/>
        <w:gridCol w:w="1986"/>
      </w:tblGrid>
      <w:tr w:rsidR="008158DF" w:rsidRPr="00C3278E" w14:paraId="2B763FFC" w14:textId="77777777" w:rsidTr="0071780B">
        <w:trPr>
          <w:tblHeader/>
        </w:trPr>
        <w:tc>
          <w:tcPr>
            <w:tcW w:w="7364" w:type="dxa"/>
          </w:tcPr>
          <w:p w14:paraId="7D0F0271" w14:textId="77777777" w:rsidR="008158DF" w:rsidRPr="00C3278E" w:rsidRDefault="008158DF" w:rsidP="00FF5A23">
            <w:pPr>
              <w:pStyle w:val="Heading2"/>
              <w:numPr>
                <w:ilvl w:val="0"/>
                <w:numId w:val="0"/>
              </w:numPr>
              <w:rPr>
                <w:rFonts w:ascii="Verdana" w:hAnsi="Verdana"/>
                <w:b/>
                <w:bCs/>
                <w:szCs w:val="22"/>
                <w:lang w:bidi="en-US"/>
              </w:rPr>
            </w:pPr>
            <w:r w:rsidRPr="00C3278E">
              <w:rPr>
                <w:rFonts w:ascii="Verdana" w:hAnsi="Verdana"/>
                <w:b/>
                <w:bCs/>
                <w:szCs w:val="22"/>
                <w:lang w:bidi="en-US"/>
              </w:rPr>
              <w:t>Written Assignment</w:t>
            </w:r>
          </w:p>
        </w:tc>
        <w:tc>
          <w:tcPr>
            <w:tcW w:w="1986" w:type="dxa"/>
          </w:tcPr>
          <w:p w14:paraId="43DDB504" w14:textId="77777777" w:rsidR="008158DF" w:rsidRPr="00C3278E" w:rsidRDefault="008158DF" w:rsidP="00FF5A23">
            <w:pPr>
              <w:pStyle w:val="Heading2"/>
              <w:numPr>
                <w:ilvl w:val="0"/>
                <w:numId w:val="0"/>
              </w:numPr>
              <w:rPr>
                <w:rFonts w:ascii="Verdana" w:hAnsi="Verdana"/>
                <w:b/>
                <w:bCs/>
                <w:szCs w:val="22"/>
                <w:lang w:bidi="en-US"/>
              </w:rPr>
            </w:pPr>
            <w:r w:rsidRPr="00C3278E">
              <w:rPr>
                <w:rFonts w:ascii="Verdana" w:hAnsi="Verdana"/>
                <w:b/>
                <w:bCs/>
                <w:szCs w:val="22"/>
                <w:lang w:bidi="en-US"/>
              </w:rPr>
              <w:t>Learning Objectives</w:t>
            </w:r>
          </w:p>
        </w:tc>
      </w:tr>
      <w:tr w:rsidR="008158DF" w:rsidRPr="00C3278E" w14:paraId="28A8B8C6" w14:textId="77777777" w:rsidTr="0071780B">
        <w:tc>
          <w:tcPr>
            <w:tcW w:w="7364" w:type="dxa"/>
          </w:tcPr>
          <w:p w14:paraId="72815EBE" w14:textId="4F4E37E5" w:rsidR="008158DF" w:rsidRPr="00C3278E" w:rsidRDefault="008158DF" w:rsidP="00FF5A23">
            <w:pPr>
              <w:rPr>
                <w:rFonts w:ascii="Verdana" w:hAnsi="Verdana"/>
                <w:i/>
                <w:sz w:val="22"/>
                <w:szCs w:val="22"/>
                <w:lang w:bidi="en-US"/>
              </w:rPr>
            </w:pPr>
            <w:r w:rsidRPr="00C3278E">
              <w:rPr>
                <w:rFonts w:ascii="Verdana" w:hAnsi="Verdana"/>
                <w:sz w:val="22"/>
                <w:szCs w:val="22"/>
                <w:lang w:bidi="en-US"/>
              </w:rPr>
              <w:t xml:space="preserve">Students complete Chapter </w:t>
            </w:r>
            <w:r w:rsidR="003E0BCA" w:rsidRPr="00C3278E">
              <w:rPr>
                <w:rFonts w:ascii="Verdana" w:hAnsi="Verdana"/>
                <w:sz w:val="22"/>
                <w:szCs w:val="22"/>
                <w:lang w:bidi="en-US"/>
              </w:rPr>
              <w:t>19</w:t>
            </w:r>
            <w:r w:rsidRPr="00C3278E">
              <w:rPr>
                <w:rFonts w:ascii="Verdana" w:hAnsi="Verdana"/>
                <w:sz w:val="22"/>
                <w:szCs w:val="22"/>
                <w:lang w:bidi="en-US"/>
              </w:rPr>
              <w:t xml:space="preserve"> of </w:t>
            </w:r>
            <w:r w:rsidRPr="00C3278E">
              <w:rPr>
                <w:rFonts w:ascii="Verdana" w:hAnsi="Verdana"/>
                <w:i/>
                <w:sz w:val="22"/>
                <w:szCs w:val="22"/>
                <w:lang w:bidi="en-US"/>
              </w:rPr>
              <w:t>Lippincott Workbook for Nursing Assistants.</w:t>
            </w:r>
          </w:p>
        </w:tc>
        <w:tc>
          <w:tcPr>
            <w:tcW w:w="1986" w:type="dxa"/>
          </w:tcPr>
          <w:p w14:paraId="681C81B4" w14:textId="77777777" w:rsidR="008158DF" w:rsidRPr="00C3278E" w:rsidRDefault="008158DF" w:rsidP="00FF5A23">
            <w:pPr>
              <w:rPr>
                <w:rFonts w:ascii="Verdana" w:hAnsi="Verdana"/>
                <w:sz w:val="22"/>
                <w:szCs w:val="22"/>
                <w:lang w:bidi="en-US"/>
              </w:rPr>
            </w:pPr>
            <w:r w:rsidRPr="00C3278E">
              <w:rPr>
                <w:rFonts w:ascii="Verdana" w:hAnsi="Verdana"/>
                <w:sz w:val="22"/>
                <w:szCs w:val="22"/>
                <w:lang w:bidi="en-US"/>
              </w:rPr>
              <w:t>1–5</w:t>
            </w:r>
          </w:p>
        </w:tc>
      </w:tr>
    </w:tbl>
    <w:p w14:paraId="6BC54A5C" w14:textId="77777777" w:rsidR="008158DF" w:rsidRPr="00C3278E" w:rsidRDefault="008158DF" w:rsidP="008158DF">
      <w:pPr>
        <w:spacing w:line="240" w:lineRule="auto"/>
        <w:rPr>
          <w:rFonts w:ascii="Verdana" w:eastAsia="Calibri" w:hAnsi="Verdana" w:cs="Times New Roman"/>
          <w:color w:val="auto"/>
          <w:sz w:val="22"/>
          <w:lang w:bidi="en-US"/>
        </w:rPr>
      </w:pPr>
    </w:p>
    <w:tbl>
      <w:tblPr>
        <w:tblStyle w:val="TableGrid8"/>
        <w:tblW w:w="0" w:type="auto"/>
        <w:tblLook w:val="04A0" w:firstRow="1" w:lastRow="0" w:firstColumn="1" w:lastColumn="0" w:noHBand="0" w:noVBand="1"/>
        <w:tblDescription w:val="This table describes about the Group Assignments"/>
      </w:tblPr>
      <w:tblGrid>
        <w:gridCol w:w="7364"/>
        <w:gridCol w:w="1986"/>
      </w:tblGrid>
      <w:tr w:rsidR="008158DF" w:rsidRPr="00C3278E" w14:paraId="5176B3CD" w14:textId="77777777" w:rsidTr="0071780B">
        <w:trPr>
          <w:tblHeader/>
        </w:trPr>
        <w:tc>
          <w:tcPr>
            <w:tcW w:w="7364" w:type="dxa"/>
          </w:tcPr>
          <w:p w14:paraId="0AC2A1BD" w14:textId="77777777" w:rsidR="008158DF" w:rsidRPr="00C3278E" w:rsidRDefault="008158DF" w:rsidP="00FF5A23">
            <w:pPr>
              <w:pStyle w:val="Heading2"/>
              <w:numPr>
                <w:ilvl w:val="0"/>
                <w:numId w:val="0"/>
              </w:numPr>
              <w:rPr>
                <w:rFonts w:ascii="Verdana" w:hAnsi="Verdana"/>
                <w:b/>
                <w:bCs/>
                <w:szCs w:val="22"/>
                <w:lang w:bidi="en-US"/>
              </w:rPr>
            </w:pPr>
            <w:r w:rsidRPr="00C3278E">
              <w:rPr>
                <w:rFonts w:ascii="Verdana" w:hAnsi="Verdana"/>
                <w:b/>
                <w:bCs/>
                <w:szCs w:val="22"/>
                <w:lang w:bidi="en-US"/>
              </w:rPr>
              <w:t>Group Assignments</w:t>
            </w:r>
          </w:p>
        </w:tc>
        <w:tc>
          <w:tcPr>
            <w:tcW w:w="1986" w:type="dxa"/>
          </w:tcPr>
          <w:p w14:paraId="67C37BF1" w14:textId="77777777" w:rsidR="008158DF" w:rsidRPr="00C3278E" w:rsidRDefault="008158DF" w:rsidP="00FF5A23">
            <w:pPr>
              <w:pStyle w:val="Heading2"/>
              <w:numPr>
                <w:ilvl w:val="0"/>
                <w:numId w:val="0"/>
              </w:numPr>
              <w:rPr>
                <w:rFonts w:ascii="Verdana" w:hAnsi="Verdana"/>
                <w:b/>
                <w:bCs/>
                <w:szCs w:val="22"/>
                <w:lang w:bidi="en-US"/>
              </w:rPr>
            </w:pPr>
            <w:r w:rsidRPr="00C3278E">
              <w:rPr>
                <w:rFonts w:ascii="Verdana" w:hAnsi="Verdana"/>
                <w:b/>
                <w:bCs/>
                <w:szCs w:val="22"/>
                <w:lang w:bidi="en-US"/>
              </w:rPr>
              <w:t>Learning Objective(s)</w:t>
            </w:r>
          </w:p>
        </w:tc>
      </w:tr>
      <w:tr w:rsidR="008158DF" w:rsidRPr="00C3278E" w14:paraId="12DF7E05" w14:textId="77777777" w:rsidTr="0071780B">
        <w:tc>
          <w:tcPr>
            <w:tcW w:w="7364" w:type="dxa"/>
          </w:tcPr>
          <w:p w14:paraId="51DCA4DA" w14:textId="77777777" w:rsidR="008158DF" w:rsidRPr="00C3278E" w:rsidRDefault="008158DF" w:rsidP="004737FE">
            <w:pPr>
              <w:rPr>
                <w:rFonts w:ascii="Verdana" w:hAnsi="Verdana"/>
                <w:sz w:val="22"/>
                <w:szCs w:val="22"/>
                <w:lang w:bidi="en-US"/>
              </w:rPr>
            </w:pPr>
            <w:r w:rsidRPr="00C3278E">
              <w:rPr>
                <w:rFonts w:ascii="Verdana" w:hAnsi="Verdana"/>
                <w:sz w:val="22"/>
                <w:szCs w:val="22"/>
                <w:lang w:bidi="en-US"/>
              </w:rPr>
              <w:t>Assignment #1.</w:t>
            </w:r>
          </w:p>
          <w:p w14:paraId="18AD0FD2" w14:textId="77777777" w:rsidR="008158DF" w:rsidRPr="00C3278E" w:rsidRDefault="008158DF" w:rsidP="004737FE">
            <w:pPr>
              <w:rPr>
                <w:rFonts w:ascii="Verdana" w:hAnsi="Verdana"/>
                <w:sz w:val="22"/>
                <w:szCs w:val="22"/>
                <w:lang w:bidi="en-US"/>
              </w:rPr>
            </w:pPr>
            <w:r w:rsidRPr="00C3278E">
              <w:rPr>
                <w:rFonts w:ascii="Verdana" w:hAnsi="Verdana"/>
                <w:sz w:val="22"/>
                <w:szCs w:val="22"/>
                <w:lang w:bidi="en-US"/>
              </w:rPr>
              <w:t>Students’ responses may include:</w:t>
            </w:r>
          </w:p>
          <w:p w14:paraId="4244AFD9" w14:textId="77777777" w:rsidR="008158DF" w:rsidRPr="00C3278E" w:rsidRDefault="008158DF" w:rsidP="004737FE">
            <w:pPr>
              <w:numPr>
                <w:ilvl w:val="0"/>
                <w:numId w:val="5"/>
              </w:numPr>
              <w:contextualSpacing/>
              <w:rPr>
                <w:rFonts w:ascii="Verdana" w:hAnsi="Verdana"/>
                <w:sz w:val="22"/>
                <w:szCs w:val="22"/>
                <w:lang w:bidi="en-US"/>
              </w:rPr>
            </w:pPr>
            <w:r w:rsidRPr="00C3278E">
              <w:rPr>
                <w:rFonts w:ascii="Verdana" w:hAnsi="Verdana"/>
                <w:sz w:val="22"/>
                <w:szCs w:val="22"/>
                <w:lang w:bidi="en-US"/>
              </w:rPr>
              <w:t>Surgery</w:t>
            </w:r>
          </w:p>
          <w:p w14:paraId="601AF963" w14:textId="77777777" w:rsidR="008158DF" w:rsidRPr="00C3278E" w:rsidRDefault="008158DF" w:rsidP="004737FE">
            <w:pPr>
              <w:numPr>
                <w:ilvl w:val="0"/>
                <w:numId w:val="5"/>
              </w:numPr>
              <w:contextualSpacing/>
              <w:rPr>
                <w:rFonts w:ascii="Verdana" w:hAnsi="Verdana"/>
                <w:sz w:val="22"/>
                <w:szCs w:val="22"/>
                <w:lang w:bidi="en-US"/>
              </w:rPr>
            </w:pPr>
            <w:r w:rsidRPr="00C3278E">
              <w:rPr>
                <w:rFonts w:ascii="Verdana" w:hAnsi="Verdana"/>
                <w:sz w:val="22"/>
                <w:szCs w:val="22"/>
                <w:lang w:bidi="en-US"/>
              </w:rPr>
              <w:t>Certain illnesses</w:t>
            </w:r>
          </w:p>
          <w:p w14:paraId="05DE37D7" w14:textId="77777777" w:rsidR="008158DF" w:rsidRPr="00C3278E" w:rsidRDefault="008158DF" w:rsidP="004737FE">
            <w:pPr>
              <w:numPr>
                <w:ilvl w:val="0"/>
                <w:numId w:val="5"/>
              </w:numPr>
              <w:contextualSpacing/>
              <w:rPr>
                <w:rFonts w:ascii="Verdana" w:hAnsi="Verdana"/>
                <w:sz w:val="22"/>
                <w:szCs w:val="22"/>
                <w:lang w:bidi="en-US"/>
              </w:rPr>
            </w:pPr>
            <w:r w:rsidRPr="00C3278E">
              <w:rPr>
                <w:rFonts w:ascii="Verdana" w:hAnsi="Verdana"/>
                <w:sz w:val="22"/>
                <w:szCs w:val="22"/>
                <w:lang w:bidi="en-US"/>
              </w:rPr>
              <w:t>Injuries</w:t>
            </w:r>
          </w:p>
          <w:p w14:paraId="3910E3A9" w14:textId="77777777" w:rsidR="008158DF" w:rsidRPr="00C3278E" w:rsidRDefault="008158DF" w:rsidP="004737FE">
            <w:pPr>
              <w:numPr>
                <w:ilvl w:val="0"/>
                <w:numId w:val="5"/>
              </w:numPr>
              <w:contextualSpacing/>
              <w:rPr>
                <w:rFonts w:ascii="Verdana" w:hAnsi="Verdana"/>
                <w:sz w:val="22"/>
                <w:szCs w:val="22"/>
                <w:lang w:bidi="en-US"/>
              </w:rPr>
            </w:pPr>
            <w:r w:rsidRPr="00C3278E">
              <w:rPr>
                <w:rFonts w:ascii="Verdana" w:hAnsi="Verdana"/>
                <w:sz w:val="22"/>
                <w:szCs w:val="22"/>
                <w:lang w:bidi="en-US"/>
              </w:rPr>
              <w:t>Pregnancy problems</w:t>
            </w:r>
          </w:p>
          <w:p w14:paraId="57FA98D8" w14:textId="77777777" w:rsidR="008158DF" w:rsidRPr="00C3278E" w:rsidRDefault="008158DF" w:rsidP="004737FE">
            <w:pPr>
              <w:numPr>
                <w:ilvl w:val="0"/>
                <w:numId w:val="5"/>
              </w:numPr>
              <w:contextualSpacing/>
              <w:rPr>
                <w:rFonts w:ascii="Verdana" w:hAnsi="Verdana"/>
                <w:sz w:val="22"/>
                <w:szCs w:val="22"/>
                <w:lang w:bidi="en-US"/>
              </w:rPr>
            </w:pPr>
            <w:r w:rsidRPr="00C3278E">
              <w:rPr>
                <w:rFonts w:ascii="Verdana" w:hAnsi="Verdana"/>
                <w:sz w:val="22"/>
                <w:szCs w:val="22"/>
                <w:lang w:bidi="en-US"/>
              </w:rPr>
              <w:t>Paralysis</w:t>
            </w:r>
          </w:p>
          <w:p w14:paraId="43C67720" w14:textId="77777777" w:rsidR="008158DF" w:rsidRPr="00C3278E" w:rsidRDefault="008158DF" w:rsidP="004737FE">
            <w:pPr>
              <w:rPr>
                <w:rFonts w:ascii="Verdana" w:hAnsi="Verdana"/>
                <w:sz w:val="22"/>
                <w:szCs w:val="22"/>
                <w:lang w:bidi="en-US"/>
              </w:rPr>
            </w:pPr>
            <w:r w:rsidRPr="00C3278E">
              <w:rPr>
                <w:rFonts w:ascii="Verdana" w:hAnsi="Verdana"/>
                <w:sz w:val="22"/>
                <w:szCs w:val="22"/>
                <w:lang w:bidi="en-US"/>
              </w:rPr>
              <w:t>Feelings could include:</w:t>
            </w:r>
          </w:p>
          <w:p w14:paraId="2FD4EC9B" w14:textId="77777777" w:rsidR="008158DF" w:rsidRPr="00C3278E" w:rsidRDefault="008158DF" w:rsidP="004737FE">
            <w:pPr>
              <w:numPr>
                <w:ilvl w:val="0"/>
                <w:numId w:val="6"/>
              </w:numPr>
              <w:contextualSpacing/>
              <w:rPr>
                <w:rFonts w:ascii="Verdana" w:hAnsi="Verdana"/>
                <w:sz w:val="22"/>
                <w:szCs w:val="22"/>
                <w:lang w:bidi="en-US"/>
              </w:rPr>
            </w:pPr>
            <w:r w:rsidRPr="00C3278E">
              <w:rPr>
                <w:rFonts w:ascii="Verdana" w:hAnsi="Verdana"/>
                <w:sz w:val="22"/>
                <w:szCs w:val="22"/>
                <w:lang w:bidi="en-US"/>
              </w:rPr>
              <w:t>Dependent</w:t>
            </w:r>
          </w:p>
          <w:p w14:paraId="1685B1F4" w14:textId="77777777" w:rsidR="008158DF" w:rsidRPr="00C3278E" w:rsidRDefault="008158DF" w:rsidP="004737FE">
            <w:pPr>
              <w:numPr>
                <w:ilvl w:val="0"/>
                <w:numId w:val="6"/>
              </w:numPr>
              <w:contextualSpacing/>
              <w:rPr>
                <w:rFonts w:ascii="Verdana" w:hAnsi="Verdana"/>
                <w:sz w:val="22"/>
                <w:szCs w:val="22"/>
                <w:lang w:bidi="en-US"/>
              </w:rPr>
            </w:pPr>
            <w:r w:rsidRPr="00C3278E">
              <w:rPr>
                <w:rFonts w:ascii="Verdana" w:hAnsi="Verdana"/>
                <w:sz w:val="22"/>
                <w:szCs w:val="22"/>
                <w:lang w:bidi="en-US"/>
              </w:rPr>
              <w:t>Exposed</w:t>
            </w:r>
          </w:p>
          <w:p w14:paraId="2208A799" w14:textId="77777777" w:rsidR="008158DF" w:rsidRPr="00C3278E" w:rsidRDefault="008158DF" w:rsidP="004737FE">
            <w:pPr>
              <w:numPr>
                <w:ilvl w:val="0"/>
                <w:numId w:val="6"/>
              </w:numPr>
              <w:contextualSpacing/>
              <w:rPr>
                <w:rFonts w:ascii="Verdana" w:hAnsi="Verdana"/>
                <w:sz w:val="22"/>
                <w:szCs w:val="22"/>
                <w:lang w:bidi="en-US"/>
              </w:rPr>
            </w:pPr>
            <w:r w:rsidRPr="00C3278E">
              <w:rPr>
                <w:rFonts w:ascii="Verdana" w:hAnsi="Verdana"/>
                <w:sz w:val="22"/>
                <w:szCs w:val="22"/>
                <w:lang w:bidi="en-US"/>
              </w:rPr>
              <w:t>Embarrassed</w:t>
            </w:r>
          </w:p>
          <w:p w14:paraId="411256C6" w14:textId="77777777" w:rsidR="008158DF" w:rsidRPr="00C3278E" w:rsidRDefault="008158DF" w:rsidP="004737FE">
            <w:pPr>
              <w:numPr>
                <w:ilvl w:val="0"/>
                <w:numId w:val="6"/>
              </w:numPr>
              <w:contextualSpacing/>
              <w:rPr>
                <w:rFonts w:ascii="Verdana" w:hAnsi="Verdana"/>
                <w:sz w:val="22"/>
                <w:szCs w:val="22"/>
                <w:lang w:bidi="en-US"/>
              </w:rPr>
            </w:pPr>
            <w:r w:rsidRPr="00C3278E">
              <w:rPr>
                <w:rFonts w:ascii="Verdana" w:hAnsi="Verdana"/>
                <w:sz w:val="22"/>
                <w:szCs w:val="22"/>
                <w:lang w:bidi="en-US"/>
              </w:rPr>
              <w:t>Helpless</w:t>
            </w:r>
          </w:p>
        </w:tc>
        <w:tc>
          <w:tcPr>
            <w:tcW w:w="1986" w:type="dxa"/>
          </w:tcPr>
          <w:p w14:paraId="7797BAA0" w14:textId="77777777" w:rsidR="008158DF" w:rsidRPr="00C3278E" w:rsidRDefault="008158DF" w:rsidP="004737FE">
            <w:pPr>
              <w:rPr>
                <w:rFonts w:ascii="Verdana" w:hAnsi="Verdana"/>
                <w:sz w:val="22"/>
                <w:szCs w:val="22"/>
                <w:lang w:bidi="en-US"/>
              </w:rPr>
            </w:pPr>
            <w:r w:rsidRPr="00C3278E">
              <w:rPr>
                <w:rFonts w:ascii="Verdana" w:hAnsi="Verdana"/>
                <w:sz w:val="22"/>
                <w:szCs w:val="22"/>
                <w:lang w:bidi="en-US"/>
              </w:rPr>
              <w:t>5</w:t>
            </w:r>
          </w:p>
        </w:tc>
      </w:tr>
      <w:tr w:rsidR="008158DF" w:rsidRPr="00C3278E" w14:paraId="25C1AA90" w14:textId="77777777" w:rsidTr="0071780B">
        <w:tc>
          <w:tcPr>
            <w:tcW w:w="7364" w:type="dxa"/>
          </w:tcPr>
          <w:p w14:paraId="22F23CE4" w14:textId="77777777" w:rsidR="008158DF" w:rsidRPr="00C3278E" w:rsidRDefault="008158DF" w:rsidP="004737FE">
            <w:pPr>
              <w:rPr>
                <w:rFonts w:ascii="Verdana" w:hAnsi="Verdana"/>
                <w:sz w:val="22"/>
                <w:szCs w:val="22"/>
                <w:lang w:bidi="en-US"/>
              </w:rPr>
            </w:pPr>
            <w:r w:rsidRPr="00C3278E">
              <w:rPr>
                <w:rFonts w:ascii="Verdana" w:hAnsi="Verdana"/>
                <w:sz w:val="22"/>
                <w:szCs w:val="22"/>
                <w:lang w:bidi="en-US"/>
              </w:rPr>
              <w:t>Assignment #2. Students’ responses should include:</w:t>
            </w:r>
          </w:p>
          <w:p w14:paraId="4216BDB6" w14:textId="77777777" w:rsidR="008158DF" w:rsidRPr="00C3278E" w:rsidRDefault="008158DF" w:rsidP="004737FE">
            <w:pPr>
              <w:numPr>
                <w:ilvl w:val="0"/>
                <w:numId w:val="7"/>
              </w:numPr>
              <w:contextualSpacing/>
              <w:rPr>
                <w:rFonts w:ascii="Verdana" w:hAnsi="Verdana"/>
                <w:sz w:val="22"/>
                <w:szCs w:val="22"/>
                <w:lang w:bidi="en-US"/>
              </w:rPr>
            </w:pPr>
            <w:r w:rsidRPr="00C3278E">
              <w:rPr>
                <w:rFonts w:ascii="Verdana" w:hAnsi="Verdana"/>
                <w:sz w:val="22"/>
                <w:szCs w:val="22"/>
                <w:lang w:bidi="en-US"/>
              </w:rPr>
              <w:t>Do not shake linens when placing them on the bed</w:t>
            </w:r>
          </w:p>
          <w:p w14:paraId="7D78C282" w14:textId="77777777" w:rsidR="008158DF" w:rsidRPr="00C3278E" w:rsidRDefault="008158DF" w:rsidP="004737FE">
            <w:pPr>
              <w:numPr>
                <w:ilvl w:val="1"/>
                <w:numId w:val="7"/>
              </w:numPr>
              <w:contextualSpacing/>
              <w:rPr>
                <w:rFonts w:ascii="Verdana" w:hAnsi="Verdana"/>
                <w:sz w:val="22"/>
                <w:szCs w:val="22"/>
                <w:lang w:bidi="en-US"/>
              </w:rPr>
            </w:pPr>
            <w:r w:rsidRPr="00C3278E">
              <w:rPr>
                <w:rFonts w:ascii="Verdana" w:hAnsi="Verdana"/>
                <w:sz w:val="22"/>
                <w:szCs w:val="22"/>
                <w:lang w:bidi="en-US"/>
              </w:rPr>
              <w:t>Dust is a transport mechanism for microbes. Shaking linens stirs up dust from the floor, which lands on surfaces and can easily be transferred onto eating utensils or into a wound, causing an infection.</w:t>
            </w:r>
          </w:p>
          <w:p w14:paraId="1CCAFBCD" w14:textId="77777777" w:rsidR="008158DF" w:rsidRPr="00C3278E" w:rsidRDefault="008158DF" w:rsidP="004737FE">
            <w:pPr>
              <w:numPr>
                <w:ilvl w:val="0"/>
                <w:numId w:val="7"/>
              </w:numPr>
              <w:contextualSpacing/>
              <w:rPr>
                <w:rFonts w:ascii="Verdana" w:hAnsi="Verdana"/>
                <w:sz w:val="22"/>
                <w:szCs w:val="22"/>
                <w:lang w:bidi="en-US"/>
              </w:rPr>
            </w:pPr>
            <w:r w:rsidRPr="00C3278E">
              <w:rPr>
                <w:rFonts w:ascii="Verdana" w:hAnsi="Verdana"/>
                <w:sz w:val="22"/>
                <w:szCs w:val="22"/>
                <w:lang w:bidi="en-US"/>
              </w:rPr>
              <w:t>Always wash your hands before collecting clean linen</w:t>
            </w:r>
          </w:p>
          <w:p w14:paraId="322AA3A4" w14:textId="77777777" w:rsidR="008158DF" w:rsidRPr="00C3278E" w:rsidRDefault="008158DF" w:rsidP="004737FE">
            <w:pPr>
              <w:numPr>
                <w:ilvl w:val="1"/>
                <w:numId w:val="7"/>
              </w:numPr>
              <w:contextualSpacing/>
              <w:rPr>
                <w:rFonts w:ascii="Verdana" w:hAnsi="Verdana"/>
                <w:sz w:val="22"/>
                <w:szCs w:val="22"/>
                <w:lang w:bidi="en-US"/>
              </w:rPr>
            </w:pPr>
            <w:r w:rsidRPr="00C3278E">
              <w:rPr>
                <w:rFonts w:ascii="Verdana" w:hAnsi="Verdana"/>
                <w:sz w:val="22"/>
                <w:szCs w:val="22"/>
                <w:lang w:bidi="en-US"/>
              </w:rPr>
              <w:t>Prevents microbes on your hands from being transferred to the clean linens.</w:t>
            </w:r>
          </w:p>
          <w:p w14:paraId="28D49EF3" w14:textId="77777777" w:rsidR="008158DF" w:rsidRPr="00C3278E" w:rsidRDefault="008158DF" w:rsidP="004737FE">
            <w:pPr>
              <w:numPr>
                <w:ilvl w:val="0"/>
                <w:numId w:val="7"/>
              </w:numPr>
              <w:contextualSpacing/>
              <w:rPr>
                <w:rFonts w:ascii="Verdana" w:hAnsi="Verdana"/>
                <w:sz w:val="22"/>
                <w:szCs w:val="22"/>
                <w:lang w:bidi="en-US"/>
              </w:rPr>
            </w:pPr>
            <w:r w:rsidRPr="00C3278E">
              <w:rPr>
                <w:rFonts w:ascii="Verdana" w:hAnsi="Verdana"/>
                <w:sz w:val="22"/>
                <w:szCs w:val="22"/>
                <w:lang w:bidi="en-US"/>
              </w:rPr>
              <w:t>Place clean linens on a clean surface in the room</w:t>
            </w:r>
          </w:p>
          <w:p w14:paraId="7FE297FB" w14:textId="77777777" w:rsidR="008158DF" w:rsidRPr="00C3278E" w:rsidRDefault="008158DF" w:rsidP="004737FE">
            <w:pPr>
              <w:numPr>
                <w:ilvl w:val="1"/>
                <w:numId w:val="7"/>
              </w:numPr>
              <w:contextualSpacing/>
              <w:rPr>
                <w:rFonts w:ascii="Verdana" w:hAnsi="Verdana"/>
                <w:sz w:val="22"/>
                <w:szCs w:val="22"/>
                <w:lang w:bidi="en-US"/>
              </w:rPr>
            </w:pPr>
            <w:r w:rsidRPr="00C3278E">
              <w:rPr>
                <w:rFonts w:ascii="Verdana" w:hAnsi="Verdana"/>
                <w:sz w:val="22"/>
                <w:szCs w:val="22"/>
                <w:lang w:bidi="en-US"/>
              </w:rPr>
              <w:t>Clean linens can become contaminated with microbes if placed on a dirty surface.</w:t>
            </w:r>
          </w:p>
          <w:p w14:paraId="32ED71DE" w14:textId="77777777" w:rsidR="008158DF" w:rsidRPr="00C3278E" w:rsidRDefault="008158DF" w:rsidP="004737FE">
            <w:pPr>
              <w:numPr>
                <w:ilvl w:val="0"/>
                <w:numId w:val="7"/>
              </w:numPr>
              <w:contextualSpacing/>
              <w:rPr>
                <w:rFonts w:ascii="Verdana" w:hAnsi="Verdana"/>
                <w:sz w:val="22"/>
                <w:szCs w:val="22"/>
                <w:lang w:bidi="en-US"/>
              </w:rPr>
            </w:pPr>
            <w:r w:rsidRPr="00C3278E">
              <w:rPr>
                <w:rFonts w:ascii="Verdana" w:hAnsi="Verdana"/>
                <w:sz w:val="22"/>
                <w:szCs w:val="22"/>
                <w:lang w:bidi="en-US"/>
              </w:rPr>
              <w:t>Wear gloves when removing linens from a bed</w:t>
            </w:r>
          </w:p>
          <w:p w14:paraId="5A362AE3" w14:textId="77777777" w:rsidR="008158DF" w:rsidRPr="00C3278E" w:rsidRDefault="008158DF" w:rsidP="004737FE">
            <w:pPr>
              <w:numPr>
                <w:ilvl w:val="1"/>
                <w:numId w:val="7"/>
              </w:numPr>
              <w:contextualSpacing/>
              <w:rPr>
                <w:rFonts w:ascii="Verdana" w:hAnsi="Verdana"/>
                <w:sz w:val="22"/>
                <w:szCs w:val="22"/>
                <w:lang w:bidi="en-US"/>
              </w:rPr>
            </w:pPr>
            <w:r w:rsidRPr="00C3278E">
              <w:rPr>
                <w:rFonts w:ascii="Verdana" w:hAnsi="Verdana"/>
                <w:sz w:val="22"/>
                <w:szCs w:val="22"/>
                <w:lang w:bidi="en-US"/>
              </w:rPr>
              <w:t>Any item contaminated with blood or other body substances is a potential source of exposure to pathogens for the health care worker.</w:t>
            </w:r>
          </w:p>
          <w:p w14:paraId="6B182D1D" w14:textId="77777777" w:rsidR="008158DF" w:rsidRPr="00C3278E" w:rsidRDefault="008158DF" w:rsidP="004737FE">
            <w:pPr>
              <w:numPr>
                <w:ilvl w:val="0"/>
                <w:numId w:val="7"/>
              </w:numPr>
              <w:contextualSpacing/>
              <w:rPr>
                <w:rFonts w:ascii="Verdana" w:hAnsi="Verdana"/>
                <w:sz w:val="22"/>
                <w:szCs w:val="22"/>
                <w:lang w:bidi="en-US"/>
              </w:rPr>
            </w:pPr>
            <w:r w:rsidRPr="00C3278E">
              <w:rPr>
                <w:rFonts w:ascii="Verdana" w:hAnsi="Verdana"/>
                <w:sz w:val="22"/>
                <w:szCs w:val="22"/>
                <w:lang w:bidi="en-US"/>
              </w:rPr>
              <w:t>Roll linens toward center of bed</w:t>
            </w:r>
          </w:p>
          <w:p w14:paraId="1987ABE5" w14:textId="77777777" w:rsidR="008158DF" w:rsidRPr="00C3278E" w:rsidRDefault="008158DF" w:rsidP="004737FE">
            <w:pPr>
              <w:numPr>
                <w:ilvl w:val="1"/>
                <w:numId w:val="7"/>
              </w:numPr>
              <w:contextualSpacing/>
              <w:rPr>
                <w:rFonts w:ascii="Verdana" w:hAnsi="Verdana"/>
                <w:sz w:val="22"/>
                <w:szCs w:val="22"/>
                <w:lang w:bidi="en-US"/>
              </w:rPr>
            </w:pPr>
            <w:r w:rsidRPr="00C3278E">
              <w:rPr>
                <w:rFonts w:ascii="Verdana" w:hAnsi="Verdana"/>
                <w:sz w:val="22"/>
                <w:szCs w:val="22"/>
                <w:lang w:bidi="en-US"/>
              </w:rPr>
              <w:lastRenderedPageBreak/>
              <w:t>Confining soiled areas to inside of linens helps prevent laundry workers coming into contact with potentially infectious material.</w:t>
            </w:r>
          </w:p>
          <w:p w14:paraId="04DA3B80" w14:textId="46AF7C07" w:rsidR="008158DF" w:rsidRPr="00C3278E" w:rsidRDefault="008158DF" w:rsidP="004737FE">
            <w:pPr>
              <w:numPr>
                <w:ilvl w:val="0"/>
                <w:numId w:val="7"/>
              </w:numPr>
              <w:contextualSpacing/>
              <w:rPr>
                <w:rFonts w:ascii="Verdana" w:hAnsi="Verdana"/>
                <w:sz w:val="22"/>
                <w:szCs w:val="22"/>
                <w:lang w:bidi="en-US"/>
              </w:rPr>
            </w:pPr>
            <w:r w:rsidRPr="00C3278E">
              <w:rPr>
                <w:rFonts w:ascii="Verdana" w:hAnsi="Verdana"/>
                <w:sz w:val="22"/>
                <w:szCs w:val="22"/>
                <w:lang w:bidi="en-US"/>
              </w:rPr>
              <w:t xml:space="preserve">Wipe body fluid or substance leakage </w:t>
            </w:r>
            <w:r w:rsidR="0011639A" w:rsidRPr="00C3278E">
              <w:rPr>
                <w:rFonts w:ascii="Verdana" w:hAnsi="Verdana"/>
                <w:sz w:val="22"/>
                <w:szCs w:val="22"/>
                <w:lang w:bidi="en-US"/>
              </w:rPr>
              <w:t>on</w:t>
            </w:r>
            <w:r w:rsidRPr="00C3278E">
              <w:rPr>
                <w:rFonts w:ascii="Verdana" w:hAnsi="Verdana"/>
                <w:sz w:val="22"/>
                <w:szCs w:val="22"/>
                <w:lang w:bidi="en-US"/>
              </w:rPr>
              <w:t xml:space="preserve"> mattress or bed frame with an appropriate cleaning solution</w:t>
            </w:r>
          </w:p>
          <w:p w14:paraId="43293FAB" w14:textId="77777777" w:rsidR="008158DF" w:rsidRPr="00C3278E" w:rsidRDefault="008158DF" w:rsidP="004737FE">
            <w:pPr>
              <w:numPr>
                <w:ilvl w:val="1"/>
                <w:numId w:val="7"/>
              </w:numPr>
              <w:contextualSpacing/>
              <w:rPr>
                <w:rFonts w:ascii="Verdana" w:hAnsi="Verdana"/>
                <w:sz w:val="22"/>
                <w:szCs w:val="22"/>
                <w:lang w:bidi="en-US"/>
              </w:rPr>
            </w:pPr>
            <w:r w:rsidRPr="00C3278E">
              <w:rPr>
                <w:rFonts w:ascii="Verdana" w:hAnsi="Verdana"/>
                <w:sz w:val="22"/>
                <w:szCs w:val="22"/>
                <w:lang w:bidi="en-US"/>
              </w:rPr>
              <w:t>Prevents clean sheets from being contaminated.</w:t>
            </w:r>
          </w:p>
          <w:p w14:paraId="207C565E" w14:textId="77777777" w:rsidR="008158DF" w:rsidRPr="00C3278E" w:rsidRDefault="008158DF" w:rsidP="004737FE">
            <w:pPr>
              <w:numPr>
                <w:ilvl w:val="0"/>
                <w:numId w:val="7"/>
              </w:numPr>
              <w:contextualSpacing/>
              <w:rPr>
                <w:rFonts w:ascii="Verdana" w:hAnsi="Verdana"/>
                <w:sz w:val="22"/>
                <w:szCs w:val="22"/>
                <w:lang w:bidi="en-US"/>
              </w:rPr>
            </w:pPr>
            <w:r w:rsidRPr="00C3278E">
              <w:rPr>
                <w:rFonts w:ascii="Verdana" w:hAnsi="Verdana"/>
                <w:sz w:val="22"/>
                <w:szCs w:val="22"/>
                <w:lang w:bidi="en-US"/>
              </w:rPr>
              <w:t>Place dirty linens in hamper immediately</w:t>
            </w:r>
          </w:p>
          <w:p w14:paraId="5D0A266B" w14:textId="77777777" w:rsidR="008158DF" w:rsidRPr="00C3278E" w:rsidRDefault="008158DF" w:rsidP="004737FE">
            <w:pPr>
              <w:numPr>
                <w:ilvl w:val="1"/>
                <w:numId w:val="7"/>
              </w:numPr>
              <w:contextualSpacing/>
              <w:rPr>
                <w:rFonts w:ascii="Verdana" w:hAnsi="Verdana"/>
                <w:sz w:val="22"/>
                <w:szCs w:val="22"/>
                <w:lang w:bidi="en-US"/>
              </w:rPr>
            </w:pPr>
            <w:r w:rsidRPr="00C3278E">
              <w:rPr>
                <w:rFonts w:ascii="Verdana" w:hAnsi="Verdana"/>
                <w:sz w:val="22"/>
                <w:szCs w:val="22"/>
                <w:lang w:bidi="en-US"/>
              </w:rPr>
              <w:t>Helps control spread of infection.</w:t>
            </w:r>
          </w:p>
        </w:tc>
        <w:tc>
          <w:tcPr>
            <w:tcW w:w="1986" w:type="dxa"/>
          </w:tcPr>
          <w:p w14:paraId="6970C1A4" w14:textId="2A41F2DD" w:rsidR="008158DF" w:rsidRPr="00C3278E" w:rsidRDefault="003E0BCA" w:rsidP="004737FE">
            <w:pPr>
              <w:rPr>
                <w:rFonts w:ascii="Verdana" w:hAnsi="Verdana"/>
                <w:sz w:val="22"/>
                <w:szCs w:val="22"/>
                <w:lang w:bidi="en-US"/>
              </w:rPr>
            </w:pPr>
            <w:r w:rsidRPr="00C3278E">
              <w:rPr>
                <w:rFonts w:ascii="Verdana" w:hAnsi="Verdana"/>
                <w:sz w:val="22"/>
                <w:szCs w:val="22"/>
                <w:lang w:bidi="en-US"/>
              </w:rPr>
              <w:lastRenderedPageBreak/>
              <w:t xml:space="preserve">3, </w:t>
            </w:r>
            <w:r w:rsidR="008158DF" w:rsidRPr="00C3278E">
              <w:rPr>
                <w:rFonts w:ascii="Verdana" w:hAnsi="Verdana"/>
                <w:sz w:val="22"/>
                <w:szCs w:val="22"/>
                <w:lang w:bidi="en-US"/>
              </w:rPr>
              <w:t>4</w:t>
            </w:r>
          </w:p>
        </w:tc>
      </w:tr>
    </w:tbl>
    <w:p w14:paraId="11B92511" w14:textId="77777777" w:rsidR="008158DF" w:rsidRPr="00C3278E" w:rsidRDefault="008158DF" w:rsidP="008158DF">
      <w:pPr>
        <w:spacing w:line="240" w:lineRule="auto"/>
        <w:rPr>
          <w:rFonts w:ascii="Verdana" w:eastAsia="Calibri" w:hAnsi="Verdana" w:cs="Times New Roman"/>
          <w:color w:val="auto"/>
          <w:sz w:val="22"/>
          <w:lang w:bidi="en-US"/>
        </w:rPr>
      </w:pPr>
    </w:p>
    <w:tbl>
      <w:tblPr>
        <w:tblStyle w:val="TableGrid8"/>
        <w:tblW w:w="0" w:type="auto"/>
        <w:tblLook w:val="04A0" w:firstRow="1" w:lastRow="0" w:firstColumn="1" w:lastColumn="0" w:noHBand="0" w:noVBand="1"/>
        <w:tblDescription w:val="This table describes about the Clinical Assignments"/>
      </w:tblPr>
      <w:tblGrid>
        <w:gridCol w:w="7364"/>
        <w:gridCol w:w="1986"/>
      </w:tblGrid>
      <w:tr w:rsidR="008158DF" w:rsidRPr="00C3278E" w14:paraId="78704659" w14:textId="77777777" w:rsidTr="0071780B">
        <w:trPr>
          <w:tblHeader/>
        </w:trPr>
        <w:tc>
          <w:tcPr>
            <w:tcW w:w="7364" w:type="dxa"/>
          </w:tcPr>
          <w:p w14:paraId="06CFACFC" w14:textId="77777777" w:rsidR="008158DF" w:rsidRPr="00C3278E" w:rsidRDefault="008158DF" w:rsidP="00FF5A23">
            <w:pPr>
              <w:pStyle w:val="Heading2"/>
              <w:numPr>
                <w:ilvl w:val="0"/>
                <w:numId w:val="0"/>
              </w:numPr>
              <w:rPr>
                <w:rFonts w:ascii="Verdana" w:hAnsi="Verdana"/>
                <w:b/>
                <w:bCs/>
                <w:szCs w:val="22"/>
                <w:lang w:bidi="en-US"/>
              </w:rPr>
            </w:pPr>
            <w:r w:rsidRPr="00C3278E">
              <w:rPr>
                <w:rFonts w:ascii="Verdana" w:hAnsi="Verdana"/>
                <w:b/>
                <w:bCs/>
                <w:szCs w:val="22"/>
                <w:lang w:bidi="en-US"/>
              </w:rPr>
              <w:t>Clinical Assignments</w:t>
            </w:r>
          </w:p>
        </w:tc>
        <w:tc>
          <w:tcPr>
            <w:tcW w:w="1986" w:type="dxa"/>
          </w:tcPr>
          <w:p w14:paraId="682BEEAD" w14:textId="77777777" w:rsidR="008158DF" w:rsidRPr="00C3278E" w:rsidRDefault="008158DF" w:rsidP="00FF5A23">
            <w:pPr>
              <w:pStyle w:val="Heading2"/>
              <w:numPr>
                <w:ilvl w:val="0"/>
                <w:numId w:val="0"/>
              </w:numPr>
              <w:rPr>
                <w:rFonts w:ascii="Verdana" w:hAnsi="Verdana"/>
                <w:b/>
                <w:bCs/>
                <w:szCs w:val="22"/>
                <w:lang w:bidi="en-US"/>
              </w:rPr>
            </w:pPr>
            <w:r w:rsidRPr="00C3278E">
              <w:rPr>
                <w:rFonts w:ascii="Verdana" w:hAnsi="Verdana"/>
                <w:b/>
                <w:bCs/>
                <w:szCs w:val="22"/>
                <w:lang w:bidi="en-US"/>
              </w:rPr>
              <w:t>Learning Objectives</w:t>
            </w:r>
          </w:p>
        </w:tc>
      </w:tr>
      <w:tr w:rsidR="008158DF" w:rsidRPr="00C3278E" w14:paraId="4E4F3511" w14:textId="77777777" w:rsidTr="0071780B">
        <w:tc>
          <w:tcPr>
            <w:tcW w:w="7364" w:type="dxa"/>
          </w:tcPr>
          <w:p w14:paraId="0647CCEE" w14:textId="77777777" w:rsidR="008158DF" w:rsidRPr="00C3278E" w:rsidRDefault="008158DF" w:rsidP="004737FE">
            <w:pPr>
              <w:rPr>
                <w:rFonts w:ascii="Verdana" w:hAnsi="Verdana"/>
                <w:sz w:val="22"/>
                <w:szCs w:val="22"/>
                <w:lang w:bidi="en-US"/>
              </w:rPr>
            </w:pPr>
            <w:r w:rsidRPr="00C3278E">
              <w:rPr>
                <w:rFonts w:ascii="Verdana" w:hAnsi="Verdana"/>
                <w:sz w:val="22"/>
                <w:szCs w:val="22"/>
                <w:lang w:bidi="en-US"/>
              </w:rPr>
              <w:t xml:space="preserve">Assignment #1. Students watch Module 5 of </w:t>
            </w:r>
            <w:r w:rsidRPr="00C3278E">
              <w:rPr>
                <w:rFonts w:ascii="Verdana" w:hAnsi="Verdana"/>
                <w:i/>
                <w:iCs/>
                <w:sz w:val="22"/>
                <w:szCs w:val="22"/>
                <w:lang w:bidi="en-US"/>
              </w:rPr>
              <w:t>Lippincott Video Series for Nursing Assistants.</w:t>
            </w:r>
          </w:p>
        </w:tc>
        <w:tc>
          <w:tcPr>
            <w:tcW w:w="1986" w:type="dxa"/>
          </w:tcPr>
          <w:p w14:paraId="0B8D7F09" w14:textId="77777777" w:rsidR="008158DF" w:rsidRPr="00C3278E" w:rsidRDefault="008158DF" w:rsidP="004737FE">
            <w:pPr>
              <w:rPr>
                <w:rFonts w:ascii="Verdana" w:hAnsi="Verdana"/>
                <w:sz w:val="22"/>
                <w:szCs w:val="22"/>
                <w:lang w:bidi="en-US"/>
              </w:rPr>
            </w:pPr>
            <w:r w:rsidRPr="00C3278E">
              <w:rPr>
                <w:rFonts w:ascii="Verdana" w:hAnsi="Verdana"/>
                <w:sz w:val="22"/>
                <w:szCs w:val="22"/>
                <w:lang w:bidi="en-US"/>
              </w:rPr>
              <w:t>1–5</w:t>
            </w:r>
          </w:p>
        </w:tc>
      </w:tr>
      <w:tr w:rsidR="008158DF" w:rsidRPr="00C3278E" w14:paraId="4D5BEC9B" w14:textId="77777777" w:rsidTr="0071780B">
        <w:tc>
          <w:tcPr>
            <w:tcW w:w="7364" w:type="dxa"/>
          </w:tcPr>
          <w:p w14:paraId="4FB39AE0" w14:textId="28A2E713" w:rsidR="008158DF" w:rsidRPr="00C3278E" w:rsidRDefault="008158DF" w:rsidP="004737FE">
            <w:pPr>
              <w:rPr>
                <w:rFonts w:ascii="Verdana" w:hAnsi="Verdana"/>
                <w:sz w:val="22"/>
                <w:szCs w:val="22"/>
                <w:lang w:bidi="en-US"/>
              </w:rPr>
            </w:pPr>
            <w:r w:rsidRPr="00C3278E">
              <w:rPr>
                <w:rFonts w:ascii="Verdana" w:hAnsi="Verdana"/>
                <w:sz w:val="22"/>
                <w:szCs w:val="22"/>
                <w:lang w:bidi="en-US"/>
              </w:rPr>
              <w:t xml:space="preserve">Assignment #2. </w:t>
            </w:r>
            <w:r w:rsidR="0011639A" w:rsidRPr="00C3278E">
              <w:rPr>
                <w:rFonts w:ascii="Verdana" w:hAnsi="Verdana"/>
                <w:sz w:val="22"/>
                <w:szCs w:val="22"/>
                <w:lang w:bidi="en-US"/>
              </w:rPr>
              <w:t>After s</w:t>
            </w:r>
            <w:r w:rsidRPr="00C3278E">
              <w:rPr>
                <w:rFonts w:ascii="Verdana" w:hAnsi="Verdana"/>
                <w:sz w:val="22"/>
                <w:szCs w:val="22"/>
                <w:lang w:bidi="en-US"/>
              </w:rPr>
              <w:t>tudents observe demonstration</w:t>
            </w:r>
            <w:r w:rsidR="0011639A" w:rsidRPr="00C3278E">
              <w:rPr>
                <w:rFonts w:ascii="Verdana" w:hAnsi="Verdana"/>
                <w:sz w:val="22"/>
                <w:szCs w:val="22"/>
                <w:lang w:bidi="en-US"/>
              </w:rPr>
              <w:t>,</w:t>
            </w:r>
            <w:r w:rsidRPr="00C3278E">
              <w:rPr>
                <w:rFonts w:ascii="Verdana" w:hAnsi="Verdana"/>
                <w:sz w:val="22"/>
                <w:szCs w:val="22"/>
                <w:lang w:bidi="en-US"/>
              </w:rPr>
              <w:t xml:space="preserve"> assist them to practice:</w:t>
            </w:r>
          </w:p>
          <w:p w14:paraId="38496B14" w14:textId="77777777" w:rsidR="008158DF" w:rsidRPr="00C3278E" w:rsidRDefault="008158DF" w:rsidP="004737FE">
            <w:pPr>
              <w:numPr>
                <w:ilvl w:val="0"/>
                <w:numId w:val="8"/>
              </w:numPr>
              <w:contextualSpacing/>
              <w:rPr>
                <w:rFonts w:ascii="Verdana" w:hAnsi="Verdana"/>
                <w:sz w:val="22"/>
                <w:szCs w:val="22"/>
                <w:lang w:bidi="en-US"/>
              </w:rPr>
            </w:pPr>
            <w:r w:rsidRPr="00C3278E">
              <w:rPr>
                <w:rFonts w:ascii="Verdana" w:hAnsi="Verdana"/>
                <w:sz w:val="22"/>
                <w:szCs w:val="22"/>
                <w:lang w:bidi="en-US"/>
              </w:rPr>
              <w:t>Making an unoccupied bed using various types of linens, stressing the use of proper body mechanics and details of smooth, wrinkle-free linens</w:t>
            </w:r>
          </w:p>
          <w:p w14:paraId="739DA0B9" w14:textId="77777777" w:rsidR="008158DF" w:rsidRPr="00C3278E" w:rsidRDefault="008158DF" w:rsidP="004737FE">
            <w:pPr>
              <w:numPr>
                <w:ilvl w:val="0"/>
                <w:numId w:val="8"/>
              </w:numPr>
              <w:contextualSpacing/>
              <w:rPr>
                <w:rFonts w:ascii="Verdana" w:hAnsi="Verdana"/>
                <w:sz w:val="22"/>
                <w:szCs w:val="22"/>
                <w:lang w:bidi="en-US"/>
              </w:rPr>
            </w:pPr>
            <w:r w:rsidRPr="00C3278E">
              <w:rPr>
                <w:rFonts w:ascii="Verdana" w:hAnsi="Verdana"/>
                <w:sz w:val="22"/>
                <w:szCs w:val="22"/>
                <w:lang w:bidi="en-US"/>
              </w:rPr>
              <w:t>Making an occupied bed using various types of linens, stressing the importance of talking with the patient or resident, safety, proper body mechanics, and infection control measures</w:t>
            </w:r>
          </w:p>
          <w:p w14:paraId="012BDDD6" w14:textId="77777777" w:rsidR="008158DF" w:rsidRPr="00C3278E" w:rsidRDefault="008158DF" w:rsidP="004737FE">
            <w:pPr>
              <w:ind w:left="720"/>
              <w:contextualSpacing/>
              <w:rPr>
                <w:rFonts w:ascii="Verdana" w:hAnsi="Verdana"/>
                <w:sz w:val="22"/>
                <w:szCs w:val="22"/>
                <w:lang w:bidi="en-US"/>
              </w:rPr>
            </w:pPr>
          </w:p>
        </w:tc>
        <w:tc>
          <w:tcPr>
            <w:tcW w:w="1986" w:type="dxa"/>
          </w:tcPr>
          <w:p w14:paraId="0AE9FB57" w14:textId="59008758" w:rsidR="008158DF" w:rsidRPr="00C3278E" w:rsidRDefault="003E0BCA" w:rsidP="004737FE">
            <w:pPr>
              <w:rPr>
                <w:rFonts w:ascii="Verdana" w:hAnsi="Verdana"/>
                <w:sz w:val="22"/>
                <w:szCs w:val="22"/>
                <w:lang w:bidi="en-US"/>
              </w:rPr>
            </w:pPr>
            <w:r w:rsidRPr="00C3278E">
              <w:rPr>
                <w:rFonts w:ascii="Verdana" w:hAnsi="Verdana"/>
                <w:sz w:val="22"/>
                <w:szCs w:val="22"/>
                <w:lang w:bidi="en-US"/>
              </w:rPr>
              <w:t>3,</w:t>
            </w:r>
            <w:r w:rsidR="007F5BB5" w:rsidRPr="00C3278E">
              <w:rPr>
                <w:rFonts w:ascii="Verdana" w:hAnsi="Verdana"/>
                <w:sz w:val="22"/>
                <w:szCs w:val="22"/>
                <w:lang w:bidi="en-US"/>
              </w:rPr>
              <w:t xml:space="preserve"> </w:t>
            </w:r>
            <w:r w:rsidRPr="00C3278E">
              <w:rPr>
                <w:rFonts w:ascii="Verdana" w:hAnsi="Verdana"/>
                <w:sz w:val="22"/>
                <w:szCs w:val="22"/>
                <w:lang w:bidi="en-US"/>
              </w:rPr>
              <w:t>4,</w:t>
            </w:r>
            <w:r w:rsidR="007F5BB5" w:rsidRPr="00C3278E">
              <w:rPr>
                <w:rFonts w:ascii="Verdana" w:hAnsi="Verdana"/>
                <w:sz w:val="22"/>
                <w:szCs w:val="22"/>
                <w:lang w:bidi="en-US"/>
              </w:rPr>
              <w:t xml:space="preserve"> </w:t>
            </w:r>
            <w:r w:rsidR="008158DF" w:rsidRPr="00C3278E">
              <w:rPr>
                <w:rFonts w:ascii="Verdana" w:hAnsi="Verdana"/>
                <w:sz w:val="22"/>
                <w:szCs w:val="22"/>
                <w:lang w:bidi="en-US"/>
              </w:rPr>
              <w:t>5</w:t>
            </w:r>
          </w:p>
        </w:tc>
      </w:tr>
      <w:tr w:rsidR="008158DF" w:rsidRPr="00C3278E" w14:paraId="6947AE7F" w14:textId="77777777" w:rsidTr="0071780B">
        <w:tc>
          <w:tcPr>
            <w:tcW w:w="7364" w:type="dxa"/>
          </w:tcPr>
          <w:p w14:paraId="5A90DDE5" w14:textId="77777777" w:rsidR="008158DF" w:rsidRPr="00C3278E" w:rsidRDefault="008158DF" w:rsidP="004737FE">
            <w:pPr>
              <w:rPr>
                <w:rFonts w:ascii="Verdana" w:hAnsi="Verdana"/>
                <w:sz w:val="22"/>
                <w:szCs w:val="22"/>
                <w:lang w:bidi="en-US"/>
              </w:rPr>
            </w:pPr>
            <w:r w:rsidRPr="00C3278E">
              <w:rPr>
                <w:rFonts w:ascii="Verdana" w:hAnsi="Verdana"/>
                <w:sz w:val="22"/>
                <w:szCs w:val="22"/>
                <w:lang w:bidi="en-US"/>
              </w:rPr>
              <w:t>Assignment #3. Guide the students to discuss their observations of clinical site nursing assistants making beds. Ask them whether or not linen handling and bedmaking guidelines were followed. Stress the importance of doing skills as they are being taught. Discussion should include the topics of peer pressure, and taking shortcuts to save time.</w:t>
            </w:r>
          </w:p>
          <w:p w14:paraId="029D8BC9" w14:textId="77777777" w:rsidR="008158DF" w:rsidRPr="00C3278E" w:rsidRDefault="008158DF" w:rsidP="004737FE">
            <w:pPr>
              <w:rPr>
                <w:rFonts w:ascii="Verdana" w:hAnsi="Verdana"/>
                <w:sz w:val="22"/>
                <w:szCs w:val="22"/>
                <w:lang w:bidi="en-US"/>
              </w:rPr>
            </w:pPr>
          </w:p>
        </w:tc>
        <w:tc>
          <w:tcPr>
            <w:tcW w:w="1986" w:type="dxa"/>
          </w:tcPr>
          <w:p w14:paraId="71085F94" w14:textId="77777777" w:rsidR="008158DF" w:rsidRPr="00C3278E" w:rsidRDefault="008158DF" w:rsidP="004737FE">
            <w:pPr>
              <w:rPr>
                <w:rFonts w:ascii="Verdana" w:hAnsi="Verdana"/>
                <w:sz w:val="22"/>
                <w:szCs w:val="22"/>
                <w:lang w:bidi="en-US"/>
              </w:rPr>
            </w:pPr>
            <w:r w:rsidRPr="00C3278E">
              <w:rPr>
                <w:rFonts w:ascii="Verdana" w:hAnsi="Verdana"/>
                <w:sz w:val="22"/>
                <w:szCs w:val="22"/>
                <w:lang w:bidi="en-US"/>
              </w:rPr>
              <w:t>1–5</w:t>
            </w:r>
          </w:p>
        </w:tc>
      </w:tr>
    </w:tbl>
    <w:p w14:paraId="7DFE271C" w14:textId="77777777" w:rsidR="008158DF" w:rsidRPr="00C3278E" w:rsidRDefault="008158DF" w:rsidP="008158DF">
      <w:pPr>
        <w:spacing w:line="240" w:lineRule="auto"/>
        <w:rPr>
          <w:rFonts w:ascii="Verdana" w:eastAsia="Calibri" w:hAnsi="Verdana" w:cs="Times New Roman"/>
          <w:color w:val="auto"/>
          <w:sz w:val="22"/>
          <w:lang w:bidi="en-US"/>
        </w:rPr>
      </w:pPr>
    </w:p>
    <w:p w14:paraId="06C17A35" w14:textId="0FD28383" w:rsidR="001E2049" w:rsidRPr="00C3278E" w:rsidRDefault="001E2049" w:rsidP="008158DF">
      <w:pPr>
        <w:rPr>
          <w:rFonts w:ascii="Verdana" w:hAnsi="Verdana"/>
          <w:sz w:val="22"/>
          <w:lang w:eastAsia="de-DE"/>
        </w:rPr>
      </w:pPr>
    </w:p>
    <w:sectPr w:rsidR="001E2049" w:rsidRPr="00C3278E"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FB61A" w14:textId="77777777" w:rsidR="00EF4A42" w:rsidRDefault="00EF4A42" w:rsidP="00291CA2">
      <w:pPr>
        <w:spacing w:line="240" w:lineRule="auto"/>
      </w:pPr>
      <w:r>
        <w:separator/>
      </w:r>
    </w:p>
  </w:endnote>
  <w:endnote w:type="continuationSeparator" w:id="0">
    <w:p w14:paraId="0921C9D8" w14:textId="77777777" w:rsidR="00EF4A42" w:rsidRDefault="00EF4A42"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altName w:val="Arial"/>
    <w:charset w:val="00"/>
    <w:family w:val="swiss"/>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A9AB93B" w14:textId="77777777" w:rsidTr="001E2049">
      <w:tc>
        <w:tcPr>
          <w:tcW w:w="9746" w:type="dxa"/>
          <w:vAlign w:val="bottom"/>
        </w:tcPr>
        <w:p w14:paraId="410DF52B" w14:textId="77777777" w:rsidR="007172A0" w:rsidRDefault="007172A0" w:rsidP="007172A0">
          <w:pPr>
            <w:pStyle w:val="Footer"/>
          </w:pPr>
        </w:p>
      </w:tc>
      <w:tc>
        <w:tcPr>
          <w:tcW w:w="709" w:type="dxa"/>
        </w:tcPr>
        <w:p w14:paraId="4F83492A" w14:textId="77777777" w:rsidR="007172A0" w:rsidRDefault="007172A0" w:rsidP="007172A0">
          <w:pPr>
            <w:pStyle w:val="Footer"/>
          </w:pPr>
          <w:r>
            <w:fldChar w:fldCharType="begin"/>
          </w:r>
          <w:r>
            <w:instrText xml:space="preserve"> PAGE  \* Arabic  \* MERGEFORMAT </w:instrText>
          </w:r>
          <w:r>
            <w:fldChar w:fldCharType="separate"/>
          </w:r>
          <w:r w:rsidR="00C3278E">
            <w:rPr>
              <w:noProof/>
            </w:rPr>
            <w:t>2</w:t>
          </w:r>
          <w:r>
            <w:fldChar w:fldCharType="end"/>
          </w:r>
        </w:p>
      </w:tc>
    </w:tr>
  </w:tbl>
  <w:p w14:paraId="1CC0F8A2"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5F0D"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6BD3294E" wp14:editId="509D867E">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2EA96" w14:textId="77777777" w:rsidR="00EF4A42" w:rsidRDefault="00EF4A42" w:rsidP="00291CA2">
      <w:pPr>
        <w:spacing w:line="240" w:lineRule="auto"/>
      </w:pPr>
      <w:r>
        <w:separator/>
      </w:r>
    </w:p>
  </w:footnote>
  <w:footnote w:type="continuationSeparator" w:id="0">
    <w:p w14:paraId="7D5EB39B" w14:textId="77777777" w:rsidR="00EF4A42" w:rsidRDefault="00EF4A42"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8011"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387E93E3" wp14:editId="6A621A72">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rPr>
    </w:lvl>
  </w:abstractNum>
  <w:abstractNum w:abstractNumId="4"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7851B5"/>
    <w:multiLevelType w:val="hybridMultilevel"/>
    <w:tmpl w:val="92380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8007A6D"/>
    <w:multiLevelType w:val="multilevel"/>
    <w:tmpl w:val="B4C2E896"/>
    <w:numStyleLink w:val="Bulletlist"/>
  </w:abstractNum>
  <w:abstractNum w:abstractNumId="8" w15:restartNumberingAfterBreak="0">
    <w:nsid w:val="4C761588"/>
    <w:multiLevelType w:val="hybridMultilevel"/>
    <w:tmpl w:val="6CC8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E607C5"/>
    <w:multiLevelType w:val="hybridMultilevel"/>
    <w:tmpl w:val="6C20A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F4343F"/>
    <w:multiLevelType w:val="multilevel"/>
    <w:tmpl w:val="44280DF8"/>
    <w:numStyleLink w:val="Headinglist"/>
  </w:abstractNum>
  <w:abstractNum w:abstractNumId="11" w15:restartNumberingAfterBreak="0">
    <w:nsid w:val="7023500E"/>
    <w:multiLevelType w:val="hybridMultilevel"/>
    <w:tmpl w:val="CB8C3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4091859">
    <w:abstractNumId w:val="4"/>
  </w:num>
  <w:num w:numId="2" w16cid:durableId="311951857">
    <w:abstractNumId w:val="6"/>
  </w:num>
  <w:num w:numId="3" w16cid:durableId="1688293511">
    <w:abstractNumId w:val="7"/>
  </w:num>
  <w:num w:numId="4" w16cid:durableId="1177190143">
    <w:abstractNumId w:val="10"/>
  </w:num>
  <w:num w:numId="5" w16cid:durableId="1971856065">
    <w:abstractNumId w:val="5"/>
  </w:num>
  <w:num w:numId="6" w16cid:durableId="812331439">
    <w:abstractNumId w:val="9"/>
  </w:num>
  <w:num w:numId="7" w16cid:durableId="2033408951">
    <w:abstractNumId w:val="11"/>
  </w:num>
  <w:num w:numId="8" w16cid:durableId="895891828">
    <w:abstractNumId w:val="8"/>
  </w:num>
  <w:num w:numId="9" w16cid:durableId="2073194439">
    <w:abstractNumId w:val="10"/>
  </w:num>
  <w:num w:numId="10" w16cid:durableId="459612917">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715"/>
    <w:rsid w:val="000225A6"/>
    <w:rsid w:val="0003366F"/>
    <w:rsid w:val="000406B1"/>
    <w:rsid w:val="00043C8A"/>
    <w:rsid w:val="00081DAB"/>
    <w:rsid w:val="00081F77"/>
    <w:rsid w:val="00083449"/>
    <w:rsid w:val="000A006E"/>
    <w:rsid w:val="0011639A"/>
    <w:rsid w:val="00141660"/>
    <w:rsid w:val="00145E2E"/>
    <w:rsid w:val="001555F5"/>
    <w:rsid w:val="001A3E76"/>
    <w:rsid w:val="001B183D"/>
    <w:rsid w:val="001C626B"/>
    <w:rsid w:val="001D07AE"/>
    <w:rsid w:val="001E2049"/>
    <w:rsid w:val="001F0D8F"/>
    <w:rsid w:val="00207F14"/>
    <w:rsid w:val="002109F4"/>
    <w:rsid w:val="00215E24"/>
    <w:rsid w:val="00250B53"/>
    <w:rsid w:val="0025298E"/>
    <w:rsid w:val="00267115"/>
    <w:rsid w:val="00291B64"/>
    <w:rsid w:val="00291CA2"/>
    <w:rsid w:val="002B02DB"/>
    <w:rsid w:val="002B4D70"/>
    <w:rsid w:val="002C09FD"/>
    <w:rsid w:val="002D1245"/>
    <w:rsid w:val="002E2AD0"/>
    <w:rsid w:val="0031017D"/>
    <w:rsid w:val="0036221A"/>
    <w:rsid w:val="00383C5A"/>
    <w:rsid w:val="00395470"/>
    <w:rsid w:val="003C2ED5"/>
    <w:rsid w:val="003E0BCA"/>
    <w:rsid w:val="00407BB1"/>
    <w:rsid w:val="00407F47"/>
    <w:rsid w:val="004214D4"/>
    <w:rsid w:val="004377B9"/>
    <w:rsid w:val="00440958"/>
    <w:rsid w:val="0045584E"/>
    <w:rsid w:val="004737FE"/>
    <w:rsid w:val="004D34AE"/>
    <w:rsid w:val="004E3766"/>
    <w:rsid w:val="00540939"/>
    <w:rsid w:val="0056008D"/>
    <w:rsid w:val="005613E5"/>
    <w:rsid w:val="00597096"/>
    <w:rsid w:val="005C5E2D"/>
    <w:rsid w:val="005D52ED"/>
    <w:rsid w:val="005E7BC2"/>
    <w:rsid w:val="00613D2D"/>
    <w:rsid w:val="00651F7D"/>
    <w:rsid w:val="00671D76"/>
    <w:rsid w:val="00673354"/>
    <w:rsid w:val="006C339D"/>
    <w:rsid w:val="006D7A15"/>
    <w:rsid w:val="006E58BE"/>
    <w:rsid w:val="006F4150"/>
    <w:rsid w:val="007172A0"/>
    <w:rsid w:val="00741331"/>
    <w:rsid w:val="0075497B"/>
    <w:rsid w:val="00764747"/>
    <w:rsid w:val="00770912"/>
    <w:rsid w:val="007776E2"/>
    <w:rsid w:val="007A59C1"/>
    <w:rsid w:val="007B5109"/>
    <w:rsid w:val="007F5BB5"/>
    <w:rsid w:val="00802715"/>
    <w:rsid w:val="0080300F"/>
    <w:rsid w:val="008158DF"/>
    <w:rsid w:val="00816977"/>
    <w:rsid w:val="00822A97"/>
    <w:rsid w:val="00853492"/>
    <w:rsid w:val="008569C4"/>
    <w:rsid w:val="008703C2"/>
    <w:rsid w:val="00893370"/>
    <w:rsid w:val="008933D3"/>
    <w:rsid w:val="008A11B8"/>
    <w:rsid w:val="008B3D87"/>
    <w:rsid w:val="008F4222"/>
    <w:rsid w:val="009008B6"/>
    <w:rsid w:val="009068AE"/>
    <w:rsid w:val="009102B7"/>
    <w:rsid w:val="0093019F"/>
    <w:rsid w:val="00954377"/>
    <w:rsid w:val="0098330B"/>
    <w:rsid w:val="0099702B"/>
    <w:rsid w:val="009A09A8"/>
    <w:rsid w:val="009B6106"/>
    <w:rsid w:val="00A06AF8"/>
    <w:rsid w:val="00A07639"/>
    <w:rsid w:val="00A53FE8"/>
    <w:rsid w:val="00A73169"/>
    <w:rsid w:val="00A93E18"/>
    <w:rsid w:val="00AB3D6E"/>
    <w:rsid w:val="00AE5C40"/>
    <w:rsid w:val="00AE7FA9"/>
    <w:rsid w:val="00AF0936"/>
    <w:rsid w:val="00AF2AE3"/>
    <w:rsid w:val="00AF6645"/>
    <w:rsid w:val="00B1166B"/>
    <w:rsid w:val="00B12219"/>
    <w:rsid w:val="00B20D41"/>
    <w:rsid w:val="00B4464B"/>
    <w:rsid w:val="00B62074"/>
    <w:rsid w:val="00B664A6"/>
    <w:rsid w:val="00B85C4B"/>
    <w:rsid w:val="00B94051"/>
    <w:rsid w:val="00B9529F"/>
    <w:rsid w:val="00BB4EA8"/>
    <w:rsid w:val="00BC4B10"/>
    <w:rsid w:val="00C07757"/>
    <w:rsid w:val="00C3278E"/>
    <w:rsid w:val="00C46EB6"/>
    <w:rsid w:val="00C4765D"/>
    <w:rsid w:val="00C83B34"/>
    <w:rsid w:val="00CD79C5"/>
    <w:rsid w:val="00CE18DB"/>
    <w:rsid w:val="00D27242"/>
    <w:rsid w:val="00D40F66"/>
    <w:rsid w:val="00D527C5"/>
    <w:rsid w:val="00D64A9B"/>
    <w:rsid w:val="00DC2093"/>
    <w:rsid w:val="00DD6D04"/>
    <w:rsid w:val="00E058D2"/>
    <w:rsid w:val="00E07DFF"/>
    <w:rsid w:val="00E100A8"/>
    <w:rsid w:val="00E31E10"/>
    <w:rsid w:val="00E679CE"/>
    <w:rsid w:val="00E70C89"/>
    <w:rsid w:val="00EB546E"/>
    <w:rsid w:val="00EF4A42"/>
    <w:rsid w:val="00F50AE1"/>
    <w:rsid w:val="00F704D9"/>
    <w:rsid w:val="00F92E83"/>
    <w:rsid w:val="00F958A8"/>
    <w:rsid w:val="00FA4FFA"/>
    <w:rsid w:val="00FF5A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3A7CF"/>
  <w15:docId w15:val="{E36A2F11-807B-4DC4-893E-BD9CE2E3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9"/>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5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styleId="LightList">
    <w:name w:val="Light List"/>
    <w:basedOn w:val="TableNormal"/>
    <w:uiPriority w:val="61"/>
    <w:rsid w:val="00802715"/>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39"/>
    <w:rsid w:val="00C46EB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9529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83449"/>
    <w:pPr>
      <w:suppressAutoHyphens/>
      <w:spacing w:line="240" w:lineRule="auto"/>
      <w:ind w:left="720"/>
    </w:pPr>
    <w:rPr>
      <w:rFonts w:ascii="Times New Roman" w:eastAsia="Times New Roman" w:hAnsi="Times New Roman" w:cs="Times New Roman"/>
      <w:color w:val="auto"/>
      <w:sz w:val="24"/>
      <w:szCs w:val="24"/>
      <w:lang w:bidi="en-US"/>
    </w:rPr>
  </w:style>
  <w:style w:type="table" w:customStyle="1" w:styleId="TableGrid3">
    <w:name w:val="Table Grid3"/>
    <w:basedOn w:val="TableNormal"/>
    <w:next w:val="TableGrid"/>
    <w:uiPriority w:val="59"/>
    <w:rsid w:val="005E7B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45584E"/>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893370"/>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1C626B"/>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36221A"/>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59"/>
    <w:rsid w:val="008158D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3E0BCA"/>
    <w:rPr>
      <w:sz w:val="16"/>
      <w:szCs w:val="16"/>
    </w:rPr>
  </w:style>
  <w:style w:type="paragraph" w:styleId="CommentText">
    <w:name w:val="annotation text"/>
    <w:basedOn w:val="Normal"/>
    <w:link w:val="CommentTextChar"/>
    <w:uiPriority w:val="99"/>
    <w:unhideWhenUsed/>
    <w:rsid w:val="003E0BCA"/>
    <w:pPr>
      <w:spacing w:line="240" w:lineRule="auto"/>
    </w:pPr>
    <w:rPr>
      <w:sz w:val="20"/>
      <w:szCs w:val="20"/>
    </w:rPr>
  </w:style>
  <w:style w:type="character" w:customStyle="1" w:styleId="CommentTextChar">
    <w:name w:val="Comment Text Char"/>
    <w:basedOn w:val="DefaultParagraphFont"/>
    <w:link w:val="CommentText"/>
    <w:uiPriority w:val="99"/>
    <w:rsid w:val="003E0BCA"/>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3E0BCA"/>
    <w:rPr>
      <w:b/>
      <w:bCs/>
    </w:rPr>
  </w:style>
  <w:style w:type="character" w:customStyle="1" w:styleId="CommentSubjectChar">
    <w:name w:val="Comment Subject Char"/>
    <w:basedOn w:val="CommentTextChar"/>
    <w:link w:val="CommentSubject"/>
    <w:uiPriority w:val="99"/>
    <w:semiHidden/>
    <w:rsid w:val="003E0BCA"/>
    <w:rPr>
      <w:b/>
      <w:bCs/>
      <w:color w:val="000000" w:themeColor="text1"/>
      <w:sz w:val="20"/>
      <w:szCs w:val="20"/>
      <w:lang w:val="en-US"/>
    </w:rPr>
  </w:style>
  <w:style w:type="paragraph" w:styleId="BalloonText">
    <w:name w:val="Balloon Text"/>
    <w:basedOn w:val="Normal"/>
    <w:link w:val="BalloonTextChar"/>
    <w:uiPriority w:val="99"/>
    <w:semiHidden/>
    <w:unhideWhenUsed/>
    <w:rsid w:val="003E0BCA"/>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3E0BCA"/>
    <w:rPr>
      <w:rFonts w:ascii="Segoe UI" w:hAnsi="Segoe UI" w:cs="Segoe UI"/>
      <w:color w:val="000000" w:themeColor="text1"/>
      <w:sz w:val="18"/>
      <w:szCs w:val="18"/>
      <w:lang w:val="en-US"/>
    </w:rPr>
  </w:style>
  <w:style w:type="paragraph" w:styleId="Revision">
    <w:name w:val="Revision"/>
    <w:hidden/>
    <w:uiPriority w:val="99"/>
    <w:semiHidden/>
    <w:rsid w:val="00FF5A23"/>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nswers_to_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FCBCD5-ED74-4EC6-8D5C-BC48DA3CEB1F}">
  <ds:schemaRefs>
    <ds:schemaRef ds:uri="http://schemas.openxmlformats.org/officeDocument/2006/bibliography"/>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9</TotalTime>
  <Pages>2</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Assignments, Chapter 19, Bedmaking</dc:title>
  <dc:subject/>
  <dc:creator>Innovative</dc:creator>
  <cp:keywords/>
  <dc:description/>
  <cp:lastModifiedBy>Devaraj N</cp:lastModifiedBy>
  <cp:revision>6</cp:revision>
  <dcterms:created xsi:type="dcterms:W3CDTF">2023-02-08T01:22:00Z</dcterms:created>
  <dcterms:modified xsi:type="dcterms:W3CDTF">2023-04-04T08:06:00Z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80b34f2c8b6ab4bca16f0b9ce00a326758da03bd9d1ab777d72589bb1869c476</vt:lpwstr>
  </property>
</Properties>
</file>